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56" w:rsidRDefault="005B7656" w:rsidP="005B7656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5B7656" w:rsidRDefault="005B7656" w:rsidP="005B7656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5B7656" w:rsidRDefault="005B7656" w:rsidP="005B7656">
      <w:pPr>
        <w:pStyle w:val="Standard"/>
        <w:jc w:val="center"/>
        <w:rPr>
          <w:rFonts w:eastAsia="Times New Roman" w:cs="Times New Roman"/>
          <w:b/>
          <w:bCs/>
          <w:sz w:val="64"/>
          <w:szCs w:val="64"/>
          <w:lang w:val="uk-UA"/>
        </w:rPr>
      </w:pPr>
    </w:p>
    <w:p w:rsidR="005B7656" w:rsidRDefault="005B7656" w:rsidP="005B7656">
      <w:pPr>
        <w:pStyle w:val="Standard"/>
        <w:jc w:val="center"/>
        <w:rPr>
          <w:rFonts w:eastAsia="Times New Roman" w:cs="Times New Roman"/>
          <w:b/>
          <w:bCs/>
          <w:sz w:val="64"/>
          <w:szCs w:val="64"/>
          <w:lang w:val="uk-UA"/>
        </w:rPr>
      </w:pPr>
    </w:p>
    <w:p w:rsidR="005B7656" w:rsidRDefault="005B7656" w:rsidP="005B7656">
      <w:pPr>
        <w:pStyle w:val="Standard"/>
        <w:jc w:val="center"/>
        <w:rPr>
          <w:rFonts w:eastAsia="Times New Roman" w:cs="Times New Roman"/>
          <w:b/>
          <w:bCs/>
          <w:sz w:val="64"/>
          <w:szCs w:val="64"/>
          <w:lang w:val="uk-UA"/>
        </w:rPr>
      </w:pPr>
    </w:p>
    <w:p w:rsidR="005B7656" w:rsidRDefault="005B7656" w:rsidP="005B7656">
      <w:pPr>
        <w:pStyle w:val="Standard"/>
        <w:jc w:val="center"/>
        <w:rPr>
          <w:rFonts w:eastAsia="Times New Roman" w:cs="Times New Roman"/>
          <w:b/>
          <w:bCs/>
          <w:sz w:val="64"/>
          <w:szCs w:val="64"/>
          <w:lang w:val="uk-UA"/>
        </w:rPr>
      </w:pPr>
    </w:p>
    <w:p w:rsidR="005B7656" w:rsidRDefault="005B7656" w:rsidP="005B7656">
      <w:pPr>
        <w:pStyle w:val="Standard"/>
        <w:jc w:val="center"/>
        <w:rPr>
          <w:rFonts w:eastAsia="Times New Roman" w:cs="Times New Roman"/>
          <w:b/>
          <w:bCs/>
          <w:sz w:val="64"/>
          <w:szCs w:val="64"/>
          <w:lang w:val="uk-UA"/>
        </w:rPr>
      </w:pPr>
    </w:p>
    <w:p w:rsidR="005B7656" w:rsidRDefault="005B7656" w:rsidP="005B7656">
      <w:pPr>
        <w:pStyle w:val="Standard"/>
        <w:jc w:val="center"/>
        <w:rPr>
          <w:rFonts w:eastAsia="Times New Roman" w:cs="Times New Roman"/>
          <w:b/>
          <w:bCs/>
          <w:sz w:val="64"/>
          <w:szCs w:val="64"/>
          <w:lang w:val="uk-UA"/>
        </w:rPr>
      </w:pPr>
    </w:p>
    <w:p w:rsidR="005B7656" w:rsidRDefault="005B7656" w:rsidP="005B7656">
      <w:pPr>
        <w:pStyle w:val="Standard"/>
        <w:jc w:val="center"/>
      </w:pPr>
      <w:r>
        <w:rPr>
          <w:rFonts w:eastAsia="Times New Roman" w:cs="Times New Roman"/>
          <w:b/>
          <w:bCs/>
          <w:sz w:val="64"/>
          <w:szCs w:val="64"/>
          <w:lang w:val="uk-UA"/>
        </w:rPr>
        <w:t>ЗВІТ</w:t>
      </w:r>
    </w:p>
    <w:p w:rsidR="005B7656" w:rsidRDefault="005B7656" w:rsidP="005B7656">
      <w:pPr>
        <w:pStyle w:val="Standard"/>
        <w:tabs>
          <w:tab w:val="center" w:pos="4677"/>
          <w:tab w:val="right" w:pos="9355"/>
        </w:tabs>
        <w:jc w:val="center"/>
      </w:pPr>
      <w:proofErr w:type="spellStart"/>
      <w:proofErr w:type="gramStart"/>
      <w:r>
        <w:rPr>
          <w:rFonts w:eastAsia="Times New Roman" w:cs="Times New Roman"/>
          <w:b/>
          <w:bCs/>
          <w:sz w:val="64"/>
          <w:szCs w:val="64"/>
        </w:rPr>
        <w:t>директора</w:t>
      </w:r>
      <w:proofErr w:type="spellEnd"/>
      <w:proofErr w:type="gramEnd"/>
    </w:p>
    <w:p w:rsidR="005B7656" w:rsidRPr="005B7656" w:rsidRDefault="005B7656" w:rsidP="005B7656">
      <w:pPr>
        <w:pStyle w:val="Standard"/>
        <w:tabs>
          <w:tab w:val="center" w:pos="4677"/>
          <w:tab w:val="right" w:pos="9355"/>
        </w:tabs>
        <w:jc w:val="center"/>
        <w:rPr>
          <w:lang w:val="ru-RU"/>
        </w:rPr>
      </w:pPr>
      <w:proofErr w:type="spellStart"/>
      <w:r w:rsidRPr="005B7656">
        <w:rPr>
          <w:rFonts w:eastAsia="Times New Roman" w:cs="Times New Roman"/>
          <w:b/>
          <w:bCs/>
          <w:sz w:val="64"/>
          <w:szCs w:val="64"/>
          <w:lang w:val="ru-RU"/>
        </w:rPr>
        <w:t>Комунальн</w:t>
      </w:r>
      <w:bookmarkStart w:id="0" w:name="_GoBack"/>
      <w:bookmarkEnd w:id="0"/>
      <w:r w:rsidRPr="005B7656">
        <w:rPr>
          <w:rFonts w:eastAsia="Times New Roman" w:cs="Times New Roman"/>
          <w:b/>
          <w:bCs/>
          <w:sz w:val="64"/>
          <w:szCs w:val="64"/>
          <w:lang w:val="ru-RU"/>
        </w:rPr>
        <w:t>ого</w:t>
      </w:r>
      <w:proofErr w:type="spellEnd"/>
      <w:r w:rsidRPr="005B7656">
        <w:rPr>
          <w:rFonts w:eastAsia="Times New Roman" w:cs="Times New Roman"/>
          <w:b/>
          <w:bCs/>
          <w:sz w:val="64"/>
          <w:szCs w:val="64"/>
          <w:lang w:val="ru-RU"/>
        </w:rPr>
        <w:t xml:space="preserve"> закладу "</w:t>
      </w:r>
      <w:proofErr w:type="spellStart"/>
      <w:r w:rsidRPr="005B7656">
        <w:rPr>
          <w:rFonts w:eastAsia="Times New Roman" w:cs="Times New Roman"/>
          <w:b/>
          <w:bCs/>
          <w:sz w:val="64"/>
          <w:szCs w:val="64"/>
          <w:lang w:val="ru-RU"/>
        </w:rPr>
        <w:t>Сахновщинський</w:t>
      </w:r>
      <w:proofErr w:type="spellEnd"/>
      <w:r w:rsidRPr="005B7656">
        <w:rPr>
          <w:rFonts w:eastAsia="Times New Roman" w:cs="Times New Roman"/>
          <w:b/>
          <w:bCs/>
          <w:sz w:val="64"/>
          <w:szCs w:val="64"/>
          <w:lang w:val="ru-RU"/>
        </w:rPr>
        <w:t xml:space="preserve"> </w:t>
      </w:r>
      <w:proofErr w:type="spellStart"/>
      <w:r w:rsidRPr="005B7656">
        <w:rPr>
          <w:rFonts w:eastAsia="Times New Roman" w:cs="Times New Roman"/>
          <w:b/>
          <w:bCs/>
          <w:sz w:val="64"/>
          <w:szCs w:val="64"/>
          <w:lang w:val="ru-RU"/>
        </w:rPr>
        <w:t>навчально-реабілітаційний</w:t>
      </w:r>
      <w:proofErr w:type="spellEnd"/>
      <w:r w:rsidRPr="005B7656">
        <w:rPr>
          <w:rFonts w:eastAsia="Times New Roman" w:cs="Times New Roman"/>
          <w:b/>
          <w:bCs/>
          <w:sz w:val="64"/>
          <w:szCs w:val="64"/>
          <w:lang w:val="ru-RU"/>
        </w:rPr>
        <w:t xml:space="preserve"> центр" </w:t>
      </w:r>
      <w:proofErr w:type="spellStart"/>
      <w:r w:rsidRPr="005B7656">
        <w:rPr>
          <w:rFonts w:eastAsia="Times New Roman" w:cs="Times New Roman"/>
          <w:b/>
          <w:bCs/>
          <w:sz w:val="64"/>
          <w:szCs w:val="64"/>
          <w:lang w:val="ru-RU"/>
        </w:rPr>
        <w:t>Харківської</w:t>
      </w:r>
      <w:proofErr w:type="spellEnd"/>
      <w:r w:rsidRPr="005B7656">
        <w:rPr>
          <w:rFonts w:eastAsia="Times New Roman" w:cs="Times New Roman"/>
          <w:b/>
          <w:bCs/>
          <w:sz w:val="64"/>
          <w:szCs w:val="64"/>
          <w:lang w:val="ru-RU"/>
        </w:rPr>
        <w:t xml:space="preserve"> </w:t>
      </w:r>
      <w:proofErr w:type="spellStart"/>
      <w:r w:rsidRPr="005B7656">
        <w:rPr>
          <w:rFonts w:eastAsia="Times New Roman" w:cs="Times New Roman"/>
          <w:b/>
          <w:bCs/>
          <w:sz w:val="64"/>
          <w:szCs w:val="64"/>
          <w:lang w:val="ru-RU"/>
        </w:rPr>
        <w:t>обласної</w:t>
      </w:r>
      <w:proofErr w:type="spellEnd"/>
      <w:r w:rsidRPr="005B7656">
        <w:rPr>
          <w:rFonts w:eastAsia="Times New Roman" w:cs="Times New Roman"/>
          <w:b/>
          <w:bCs/>
          <w:sz w:val="64"/>
          <w:szCs w:val="64"/>
          <w:lang w:val="ru-RU"/>
        </w:rPr>
        <w:t xml:space="preserve"> </w:t>
      </w:r>
      <w:proofErr w:type="gramStart"/>
      <w:r w:rsidRPr="005B7656">
        <w:rPr>
          <w:rFonts w:eastAsia="Times New Roman" w:cs="Times New Roman"/>
          <w:b/>
          <w:bCs/>
          <w:sz w:val="64"/>
          <w:szCs w:val="64"/>
          <w:lang w:val="ru-RU"/>
        </w:rPr>
        <w:t>ради</w:t>
      </w:r>
      <w:proofErr w:type="gramEnd"/>
      <w:r w:rsidRPr="005B7656">
        <w:rPr>
          <w:rFonts w:eastAsia="Times New Roman" w:cs="Times New Roman"/>
          <w:b/>
          <w:bCs/>
          <w:sz w:val="64"/>
          <w:szCs w:val="64"/>
          <w:lang w:val="ru-RU"/>
        </w:rPr>
        <w:t xml:space="preserve">  </w:t>
      </w:r>
    </w:p>
    <w:p w:rsidR="005B7656" w:rsidRPr="005B7656" w:rsidRDefault="005B7656" w:rsidP="005B7656">
      <w:pPr>
        <w:pStyle w:val="Standard"/>
        <w:tabs>
          <w:tab w:val="center" w:pos="4677"/>
          <w:tab w:val="right" w:pos="9355"/>
        </w:tabs>
        <w:jc w:val="center"/>
        <w:rPr>
          <w:lang w:val="ru-RU"/>
        </w:rPr>
      </w:pPr>
      <w:proofErr w:type="spellStart"/>
      <w:proofErr w:type="gramStart"/>
      <w:r w:rsidRPr="005B7656">
        <w:rPr>
          <w:rFonts w:eastAsia="Times New Roman" w:cs="Times New Roman"/>
          <w:b/>
          <w:bCs/>
          <w:sz w:val="64"/>
          <w:szCs w:val="64"/>
          <w:lang w:val="ru-RU"/>
        </w:rPr>
        <w:t>Сан</w:t>
      </w:r>
      <w:proofErr w:type="gramEnd"/>
      <w:r w:rsidRPr="005B7656">
        <w:rPr>
          <w:rFonts w:eastAsia="Times New Roman" w:cs="Times New Roman"/>
          <w:b/>
          <w:bCs/>
          <w:sz w:val="64"/>
          <w:szCs w:val="64"/>
          <w:lang w:val="ru-RU"/>
        </w:rPr>
        <w:t>іної</w:t>
      </w:r>
      <w:proofErr w:type="spellEnd"/>
      <w:r w:rsidRPr="005B7656">
        <w:rPr>
          <w:rFonts w:eastAsia="Times New Roman" w:cs="Times New Roman"/>
          <w:b/>
          <w:bCs/>
          <w:sz w:val="64"/>
          <w:szCs w:val="64"/>
          <w:lang w:val="ru-RU"/>
        </w:rPr>
        <w:t xml:space="preserve"> </w:t>
      </w:r>
      <w:proofErr w:type="spellStart"/>
      <w:r w:rsidRPr="005B7656">
        <w:rPr>
          <w:rFonts w:eastAsia="Times New Roman" w:cs="Times New Roman"/>
          <w:b/>
          <w:bCs/>
          <w:sz w:val="64"/>
          <w:szCs w:val="64"/>
          <w:lang w:val="ru-RU"/>
        </w:rPr>
        <w:t>Ніни</w:t>
      </w:r>
      <w:proofErr w:type="spellEnd"/>
      <w:r w:rsidRPr="005B7656">
        <w:rPr>
          <w:rFonts w:eastAsia="Times New Roman" w:cs="Times New Roman"/>
          <w:b/>
          <w:bCs/>
          <w:sz w:val="64"/>
          <w:szCs w:val="64"/>
          <w:lang w:val="ru-RU"/>
        </w:rPr>
        <w:t xml:space="preserve"> </w:t>
      </w:r>
      <w:proofErr w:type="spellStart"/>
      <w:r w:rsidRPr="005B7656">
        <w:rPr>
          <w:rFonts w:eastAsia="Times New Roman" w:cs="Times New Roman"/>
          <w:b/>
          <w:bCs/>
          <w:sz w:val="64"/>
          <w:szCs w:val="64"/>
          <w:lang w:val="ru-RU"/>
        </w:rPr>
        <w:t>Василівни</w:t>
      </w:r>
      <w:proofErr w:type="spellEnd"/>
    </w:p>
    <w:p w:rsidR="005B7656" w:rsidRPr="005B7656" w:rsidRDefault="005B7656" w:rsidP="005B7656">
      <w:pPr>
        <w:pStyle w:val="Standard"/>
        <w:tabs>
          <w:tab w:val="center" w:pos="4677"/>
          <w:tab w:val="right" w:pos="9355"/>
        </w:tabs>
        <w:jc w:val="center"/>
        <w:rPr>
          <w:lang w:val="ru-RU"/>
        </w:rPr>
      </w:pPr>
      <w:r>
        <w:rPr>
          <w:rFonts w:eastAsia="Times New Roman" w:cs="Times New Roman"/>
          <w:b/>
          <w:bCs/>
          <w:sz w:val="64"/>
          <w:szCs w:val="64"/>
          <w:lang w:val="uk-UA"/>
        </w:rPr>
        <w:t>про результати роботи</w:t>
      </w:r>
    </w:p>
    <w:p w:rsidR="005B7656" w:rsidRDefault="005B7656" w:rsidP="005B7656">
      <w:pPr>
        <w:pStyle w:val="Standard"/>
        <w:tabs>
          <w:tab w:val="center" w:pos="4677"/>
          <w:tab w:val="right" w:pos="9355"/>
        </w:tabs>
        <w:jc w:val="center"/>
      </w:pPr>
      <w:r>
        <w:rPr>
          <w:rFonts w:eastAsia="Times New Roman" w:cs="Times New Roman"/>
          <w:b/>
          <w:bCs/>
          <w:sz w:val="64"/>
          <w:szCs w:val="64"/>
          <w:lang w:val="uk-UA"/>
        </w:rPr>
        <w:t>за 2019/2020 навчальний рік</w:t>
      </w:r>
    </w:p>
    <w:p w:rsidR="005B7656" w:rsidRDefault="005B7656" w:rsidP="005B7656">
      <w:pPr>
        <w:pStyle w:val="PreformattedText"/>
        <w:spacing w:line="360" w:lineRule="auto"/>
        <w:jc w:val="both"/>
        <w:rPr>
          <w:sz w:val="28"/>
          <w:szCs w:val="28"/>
          <w:lang w:val="uk-UA"/>
        </w:rPr>
      </w:pPr>
    </w:p>
    <w:p w:rsidR="005B7656" w:rsidRDefault="005B7656" w:rsidP="005B7656">
      <w:pPr>
        <w:pStyle w:val="Standarduser"/>
        <w:spacing w:line="360" w:lineRule="auto"/>
        <w:jc w:val="both"/>
        <w:rPr>
          <w:sz w:val="28"/>
          <w:szCs w:val="28"/>
        </w:rPr>
      </w:pPr>
    </w:p>
    <w:p w:rsidR="005B7656" w:rsidRDefault="005B7656" w:rsidP="005B7656">
      <w:pPr>
        <w:pStyle w:val="Standarduser"/>
        <w:spacing w:line="360" w:lineRule="auto"/>
        <w:jc w:val="both"/>
        <w:rPr>
          <w:sz w:val="28"/>
          <w:szCs w:val="28"/>
        </w:rPr>
      </w:pPr>
    </w:p>
    <w:p w:rsidR="005B7656" w:rsidRDefault="005B7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20A" w:rsidRDefault="00BA020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656" w:rsidRDefault="005B7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020A" w:rsidRDefault="000F479D">
      <w:pPr>
        <w:spacing w:line="276" w:lineRule="auto"/>
        <w:ind w:firstLine="686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У 2019/2020 навчальному році Комунальний заклад «Сахновщинський навчально-реабілітаційний центр» Харківської обласної ради забезпечував якісну реалізацію основних завдань державної політики в системі освіти і науки відповідно до чинного законодавства Украї</w:t>
      </w:r>
      <w:r>
        <w:rPr>
          <w:rFonts w:ascii="Times New Roman" w:hAnsi="Times New Roman" w:cs="Times New Roman"/>
          <w:sz w:val="28"/>
          <w:szCs w:val="28"/>
        </w:rPr>
        <w:t xml:space="preserve">ни. Діяльність Центру була спрямована на реалізацію законів України «Про освіту», «Про повну загальну середню освіту», «Про охорону дитинства», Постанови Кабінету Міністрів України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від 06.03. 2019 № 221 «Про затвердження Положення про спеціальну школу та П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оложення про навчально-реабілітаційний центр»,</w:t>
      </w:r>
      <w:r>
        <w:rPr>
          <w:rFonts w:ascii="Times New Roman" w:hAnsi="Times New Roman" w:cs="Times New Roman"/>
          <w:sz w:val="28"/>
          <w:szCs w:val="28"/>
        </w:rPr>
        <w:t xml:space="preserve"> «Положення про безпечну та надійну експлуатацію виробничих будівель і споруд», Постанови КМУ від 05.05.1997 №409 «Про забезпечення надійності й безпечної експлуатації будівель, споруд та інженерних мереж», Пол</w:t>
      </w:r>
      <w:r>
        <w:rPr>
          <w:rFonts w:ascii="Times New Roman" w:hAnsi="Times New Roman" w:cs="Times New Roman"/>
          <w:sz w:val="28"/>
          <w:szCs w:val="28"/>
        </w:rPr>
        <w:t>оження про організацію роботи з охорони праці учасників освітнього процесу в установах і закладах освіти, Типового положення про службу охорони праці, Положення про організацію роботи з охорони праці учасників навчально-виховного процесу Комунального закла</w:t>
      </w:r>
      <w:r>
        <w:rPr>
          <w:rFonts w:ascii="Times New Roman" w:hAnsi="Times New Roman" w:cs="Times New Roman"/>
          <w:sz w:val="28"/>
          <w:szCs w:val="28"/>
        </w:rPr>
        <w:t>ду «Сахновщинський навчально-реабілітаційний центр» Харківської обласної ради,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</w:t>
      </w:r>
      <w:r>
        <w:rPr>
          <w:rFonts w:ascii="Times New Roman" w:hAnsi="Times New Roman" w:cs="Times New Roman"/>
          <w:sz w:val="28"/>
          <w:szCs w:val="28"/>
        </w:rPr>
        <w:t>и», Концепції національно- патріотичного виховання дітей і молоді, затвердженої наказом Міністерства освіти і науки України від 16.06.2015 № 641 «Про затвердження Концепції національно-патріотичного виховання дітей і молоді, Указу Президента України «Про Н</w:t>
      </w:r>
      <w:r>
        <w:rPr>
          <w:rFonts w:ascii="Times New Roman" w:hAnsi="Times New Roman" w:cs="Times New Roman"/>
          <w:sz w:val="28"/>
          <w:szCs w:val="28"/>
        </w:rPr>
        <w:t>аціональну стратегію розвитку освіти в Україні на період до 2021 року»,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</w:t>
      </w:r>
      <w:r>
        <w:rPr>
          <w:rFonts w:ascii="Times New Roman" w:hAnsi="Times New Roman" w:cs="Times New Roman"/>
          <w:sz w:val="28"/>
          <w:szCs w:val="28"/>
        </w:rPr>
        <w:t>акладах» та інших чинних нормативних документів.</w:t>
      </w:r>
    </w:p>
    <w:p w:rsidR="00BA020A" w:rsidRDefault="000F479D">
      <w:pPr>
        <w:spacing w:line="276" w:lineRule="auto"/>
        <w:ind w:right="-31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2019/2020 навчальному році в Центрі продовжено опрацювання єдиної педагогічної теми «Соціальна адаптація дітей із порушенням інтелекту у сучасному суспільстві».</w:t>
      </w:r>
    </w:p>
    <w:p w:rsidR="00BA020A" w:rsidRDefault="000F479D">
      <w:pPr>
        <w:spacing w:line="276" w:lineRule="auto"/>
        <w:ind w:right="-31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Метою діяльності Центру є забезпечення реалі</w:t>
      </w:r>
      <w:r>
        <w:rPr>
          <w:rFonts w:ascii="Times New Roman" w:hAnsi="Times New Roman" w:cs="Times New Roman"/>
          <w:color w:val="000000"/>
          <w:sz w:val="28"/>
          <w:szCs w:val="28"/>
        </w:rPr>
        <w:t>зації права учнів (вихованців) з порушеннями інтелектуального розвитку у поєднання з тяжкими порушеннями мовлення на здобуття ними початкової та базової  загальної середньої освіти.</w:t>
      </w:r>
    </w:p>
    <w:p w:rsidR="00BA020A" w:rsidRDefault="000F479D">
      <w:pPr>
        <w:spacing w:line="276" w:lineRule="auto"/>
        <w:ind w:firstLine="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Центрі створювались усі умови, що максимально сприяли становленню та соц</w:t>
      </w:r>
      <w:r>
        <w:rPr>
          <w:rFonts w:ascii="Times New Roman" w:hAnsi="Times New Roman" w:cs="Times New Roman"/>
          <w:sz w:val="28"/>
          <w:szCs w:val="28"/>
        </w:rPr>
        <w:t>іалізації особистості.</w:t>
      </w:r>
      <w:r>
        <w:rPr>
          <w:rFonts w:ascii="Times New Roman" w:hAnsi="Times New Roman" w:cs="Times New Roman"/>
          <w:sz w:val="28"/>
          <w:szCs w:val="28"/>
        </w:rPr>
        <w:br/>
        <w:t xml:space="preserve">Освітній процес було зорієнтовано на отримання учнями базової освіти. На </w:t>
      </w:r>
      <w:r>
        <w:rPr>
          <w:rFonts w:ascii="Times New Roman" w:hAnsi="Times New Roman" w:cs="Times New Roman"/>
          <w:sz w:val="28"/>
          <w:szCs w:val="28"/>
        </w:rPr>
        <w:lastRenderedPageBreak/>
        <w:t>початок 2019/2020 навчального року розпочали роботу 47 педагогічних працівника.</w:t>
      </w:r>
    </w:p>
    <w:p w:rsidR="00BA020A" w:rsidRDefault="00BA02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20A" w:rsidRDefault="000F479D">
      <w:pPr>
        <w:pStyle w:val="ac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Якісний склад педагогічних працівників за віком</w:t>
      </w:r>
    </w:p>
    <w:p w:rsidR="00BA020A" w:rsidRDefault="000F479D">
      <w:pPr>
        <w:spacing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486400" cy="3200400"/>
            <wp:effectExtent l="0" t="0" r="0" b="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A020A" w:rsidRDefault="000F479D">
      <w:pPr>
        <w:pStyle w:val="ac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Якісний склад педагогічних працівників за педагогічним стаже</w:t>
      </w:r>
      <w:r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5486400" cy="3200400"/>
            <wp:effectExtent l="0" t="0" r="0" b="0"/>
            <wp:docPr id="2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A020A" w:rsidRDefault="00BA020A">
      <w:pPr>
        <w:pStyle w:val="ac"/>
        <w:spacing w:line="276" w:lineRule="auto"/>
        <w:jc w:val="center"/>
        <w:rPr>
          <w:b/>
          <w:sz w:val="28"/>
          <w:szCs w:val="28"/>
        </w:rPr>
      </w:pPr>
    </w:p>
    <w:p w:rsidR="00BA020A" w:rsidRDefault="000F479D">
      <w:pPr>
        <w:pStyle w:val="ac"/>
        <w:spacing w:line="276" w:lineRule="auto"/>
        <w:jc w:val="center"/>
        <w:rPr>
          <w:b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5486400" cy="3200400"/>
            <wp:effectExtent l="0" t="0" r="0" b="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A020A" w:rsidRDefault="00BA020A">
      <w:pPr>
        <w:pStyle w:val="ac"/>
        <w:spacing w:line="276" w:lineRule="auto"/>
        <w:rPr>
          <w:b/>
          <w:sz w:val="28"/>
          <w:szCs w:val="28"/>
        </w:rPr>
      </w:pPr>
    </w:p>
    <w:p w:rsidR="00BA020A" w:rsidRDefault="000F479D">
      <w:pPr>
        <w:pStyle w:val="ac"/>
        <w:spacing w:line="276" w:lineRule="auto"/>
        <w:jc w:val="center"/>
        <w:rPr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5486400" cy="3200400"/>
            <wp:effectExtent l="0" t="0" r="0" b="0"/>
            <wp:docPr id="4" name="Ді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A020A" w:rsidRDefault="00BA020A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20A" w:rsidRDefault="000F479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Наведені дані свідчать про результативність роботи адміністрації Центру щодо підбору та оптимізації педагогічних кадрів упродовж останніх років. Протягом 2019/2020 року, як і в п</w:t>
      </w:r>
      <w:r>
        <w:rPr>
          <w:rFonts w:ascii="Times New Roman" w:hAnsi="Times New Roman" w:cs="Times New Roman"/>
          <w:sz w:val="28"/>
          <w:szCs w:val="28"/>
        </w:rPr>
        <w:t xml:space="preserve">опередні роки, значна увага приділялась підвищенню фахової та методичної майстерності, рівня методичної самоосвіти педагогічних працівників Центру. </w:t>
      </w:r>
    </w:p>
    <w:p w:rsidR="00BA020A" w:rsidRDefault="000F479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 8 педагогічних працівників, які атестувалися у 2019/2020 навчальному році: 4 - підтвердили відповідність</w:t>
      </w:r>
      <w:r>
        <w:rPr>
          <w:rFonts w:ascii="Times New Roman" w:hAnsi="Times New Roman" w:cs="Times New Roman"/>
          <w:sz w:val="28"/>
          <w:szCs w:val="28"/>
        </w:rPr>
        <w:t xml:space="preserve"> раніше присвоєній кваліфікаційній категорії «спеціаліст першої категорії» (Нестеренко І.В., вчитель біології,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Орел В.П., вихователі,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Н.П., вчитель початкових класів); 2 – атестовано на присвоєння кваліфікаційної категорії «спеціал</w:t>
      </w:r>
      <w:r>
        <w:rPr>
          <w:rFonts w:ascii="Times New Roman" w:hAnsi="Times New Roman" w:cs="Times New Roman"/>
          <w:sz w:val="28"/>
          <w:szCs w:val="28"/>
        </w:rPr>
        <w:t>іст І категорії»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вихователь, Кріль М.В., вчитель іноземної мови), 1-атестовано на присвоєння кваліфікаційної категорії «спеціаліст ІІ категорії» (Ялова З.А., вихователь), 1- атестовано на відповідність посадовому окладу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Нездимеко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І.В., вч</w:t>
      </w:r>
      <w:r>
        <w:rPr>
          <w:rFonts w:ascii="Times New Roman" w:hAnsi="Times New Roman" w:cs="Times New Roman"/>
          <w:sz w:val="28"/>
          <w:szCs w:val="28"/>
        </w:rPr>
        <w:t>итель музичного мистецтва).</w:t>
      </w:r>
    </w:p>
    <w:p w:rsidR="00BA020A" w:rsidRDefault="000F47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 ОСВІТНЄ СЕРЕДОВИЩЕ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</w:p>
    <w:p w:rsidR="00BA020A" w:rsidRDefault="000F479D">
      <w:pPr>
        <w:spacing w:after="36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Освітнє середовище Центру безпечне, має комфортні умови для навчання та праці. </w:t>
      </w:r>
      <w:r>
        <w:rPr>
          <w:rFonts w:ascii="Times New Roman" w:hAnsi="Times New Roman" w:cs="Times New Roman"/>
          <w:sz w:val="28"/>
          <w:szCs w:val="28"/>
        </w:rPr>
        <w:t>На початку 2019/2020 навчального року заклад обладнано навчальними класами для учнів 1-х та 2-х класів.  У кімнаті релаксації творено 8 навчальних зон (зона</w:t>
      </w:r>
      <w:r>
        <w:rPr>
          <w:rFonts w:ascii="Times New Roman" w:hAnsi="Times New Roman" w:cs="Times New Roman"/>
          <w:sz w:val="28"/>
          <w:szCs w:val="28"/>
        </w:rPr>
        <w:t xml:space="preserve"> відпочинку, усамітнення, живий куточок, бібліотечка, зона творчості, ігрова зона, зона навчальна). Всі учасники освітнього процесу мають вільний, безпечний доступ до Інтернет мережі. Згідно з вимогами навчальних програм кабінети забезпечені необхідним обл</w:t>
      </w:r>
      <w:r>
        <w:rPr>
          <w:rFonts w:ascii="Times New Roman" w:hAnsi="Times New Roman" w:cs="Times New Roman"/>
          <w:sz w:val="28"/>
          <w:szCs w:val="28"/>
        </w:rPr>
        <w:t xml:space="preserve">аднанням, обладнано сучасним інтерактивним обладнанням (кабінети інформатики, розвитку мовлення, географії). </w:t>
      </w:r>
    </w:p>
    <w:p w:rsidR="00BA020A" w:rsidRDefault="000F479D">
      <w:pPr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 метою створення безпечного та комфортного освітнього середовища зроблено наступні кроки:</w:t>
      </w:r>
    </w:p>
    <w:p w:rsidR="00BA020A" w:rsidRDefault="000F47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1.Оглянуто територію та приміщення Центру:</w:t>
      </w:r>
    </w:p>
    <w:p w:rsidR="00BA020A" w:rsidRDefault="000F4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-територія </w:t>
      </w:r>
      <w:r>
        <w:rPr>
          <w:rFonts w:ascii="Times New Roman" w:hAnsi="Times New Roman" w:cs="Times New Roman"/>
          <w:sz w:val="28"/>
          <w:szCs w:val="28"/>
        </w:rPr>
        <w:t>огороджена і немає доступу для стороннього автотранспорту (розміщено таблиці про заборону в`їзду)та сторонніх осіб;</w:t>
      </w:r>
    </w:p>
    <w:p w:rsidR="00BA020A" w:rsidRDefault="000F4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-облаштування ігрових та спортивних майданчиків є безпечними для учнів;</w:t>
      </w:r>
    </w:p>
    <w:p w:rsidR="00BA020A" w:rsidRDefault="000F4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-озеленення території закладу є достатнім, щовесни проводиться висад</w:t>
      </w:r>
      <w:r>
        <w:rPr>
          <w:rFonts w:ascii="Times New Roman" w:hAnsi="Times New Roman" w:cs="Times New Roman"/>
          <w:sz w:val="28"/>
          <w:szCs w:val="28"/>
        </w:rPr>
        <w:t>ка молодих дерев, квітів;</w:t>
      </w:r>
    </w:p>
    <w:p w:rsidR="00BA020A" w:rsidRDefault="000F4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-приміщення початкових класів (навчальні кабінети, туалетні кімнати) відокремлені від приміщень учнів старших класів;</w:t>
      </w:r>
    </w:p>
    <w:p w:rsidR="00BA020A" w:rsidRDefault="000F4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-облаштування приміщень Центру не створює загрози травмування учнів та працівників (неслизька підлога, належним </w:t>
      </w:r>
      <w:r>
        <w:rPr>
          <w:rFonts w:ascii="Times New Roman" w:hAnsi="Times New Roman" w:cs="Times New Roman"/>
          <w:sz w:val="28"/>
          <w:szCs w:val="28"/>
        </w:rPr>
        <w:t xml:space="preserve">чином встановлені меблі у навчальних кабінетах, не загромаджені коридори, сходові клітини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рекреаціі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A020A" w:rsidRDefault="000F4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2.Режим прибирання у закладі забезпечує чистоту та охайність місць спільного користування, коридорів та навчальних приміщень, спортивної зали і провітр</w:t>
      </w:r>
      <w:r>
        <w:rPr>
          <w:rFonts w:ascii="Times New Roman" w:hAnsi="Times New Roman" w:cs="Times New Roman"/>
          <w:sz w:val="28"/>
          <w:szCs w:val="28"/>
        </w:rPr>
        <w:t>ювання приміщень.</w:t>
      </w:r>
    </w:p>
    <w:p w:rsidR="00BA020A" w:rsidRDefault="000F4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3.Стан туалетних кімнат відповідає санітарним умовам, обладнані відокремленими кабінками, забезпечені туалетним папером,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020A" w:rsidRDefault="000F4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Приміщення їдальні відповідає санітарно- гігієнічним нормам.</w:t>
      </w:r>
    </w:p>
    <w:p w:rsidR="00BA020A" w:rsidRDefault="000F4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Питний режим у Центрі організований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кулерам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очищеною водою, яка відповідає санітарним нормам питної води. </w:t>
      </w:r>
    </w:p>
    <w:p w:rsidR="00BA020A" w:rsidRDefault="000F4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Із метою дотримання гігієнічних вимог у Центрі проводиться санітарно-просвітницька робота з учнями (в наявності інформаційні плакати/стенди).</w:t>
      </w:r>
    </w:p>
    <w:p w:rsidR="00BA020A" w:rsidRDefault="000F4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Гнучкість дизайну забезпечується через м</w:t>
      </w:r>
      <w:r>
        <w:rPr>
          <w:rFonts w:ascii="Times New Roman" w:hAnsi="Times New Roman" w:cs="Times New Roman"/>
          <w:sz w:val="28"/>
          <w:szCs w:val="28"/>
        </w:rPr>
        <w:t>обільні робочі місця для індивідуальної, групової та колективної роботи (обладнані столами та стільцями, пуфами, килимками для сидіння).</w:t>
      </w:r>
    </w:p>
    <w:p w:rsidR="00BA020A" w:rsidRDefault="000F4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навчальні кабінети початкової школи поділені на осередки для різних видів роботи та відпочинку учнів;</w:t>
      </w:r>
    </w:p>
    <w:p w:rsidR="00BA020A" w:rsidRDefault="000F4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-ергономічні ме</w:t>
      </w:r>
      <w:r>
        <w:rPr>
          <w:rFonts w:ascii="Times New Roman" w:hAnsi="Times New Roman" w:cs="Times New Roman"/>
          <w:sz w:val="28"/>
          <w:szCs w:val="28"/>
        </w:rPr>
        <w:t>блі;</w:t>
      </w:r>
    </w:p>
    <w:p w:rsidR="00BA020A" w:rsidRDefault="000F4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-відсутнє надлишкове нагромадження;</w:t>
      </w:r>
    </w:p>
    <w:p w:rsidR="00BA020A" w:rsidRDefault="000F4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-вікна незагромаджені;</w:t>
      </w:r>
    </w:p>
    <w:p w:rsidR="00BA020A" w:rsidRDefault="000F4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забезпечений необхідними приміщеннями та засобами навчання.                                                                                                              </w:t>
      </w:r>
    </w:p>
    <w:p w:rsidR="00BA020A" w:rsidRDefault="000F4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Функціональними</w:t>
      </w:r>
      <w:r>
        <w:rPr>
          <w:rFonts w:ascii="Times New Roman" w:hAnsi="Times New Roman" w:cs="Times New Roman"/>
          <w:sz w:val="28"/>
          <w:szCs w:val="28"/>
        </w:rPr>
        <w:t xml:space="preserve"> групи приміщень:                                                                                                   </w:t>
      </w:r>
    </w:p>
    <w:p w:rsidR="00BA020A" w:rsidRDefault="000F4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-Навчальні(навчальні кабінети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лабораторськими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майстерні)</w:t>
      </w:r>
    </w:p>
    <w:p w:rsidR="00BA020A" w:rsidRDefault="000F4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-Фізкультурно-спортивні (спортивна зала, кабінет лікувальної фізкультури)</w:t>
      </w:r>
    </w:p>
    <w:p w:rsidR="00BA020A" w:rsidRDefault="000F4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-Акто</w:t>
      </w:r>
      <w:r>
        <w:rPr>
          <w:rFonts w:ascii="Times New Roman" w:hAnsi="Times New Roman" w:cs="Times New Roman"/>
          <w:sz w:val="28"/>
          <w:szCs w:val="28"/>
        </w:rPr>
        <w:t>ва зала</w:t>
      </w:r>
    </w:p>
    <w:p w:rsidR="00BA020A" w:rsidRDefault="000F4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-Бібліотека</w:t>
      </w:r>
    </w:p>
    <w:p w:rsidR="00BA020A" w:rsidRDefault="000F4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-Приміщення для харчування</w:t>
      </w:r>
    </w:p>
    <w:p w:rsidR="00BA020A" w:rsidRDefault="000F4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-Адміністративні</w:t>
      </w:r>
    </w:p>
    <w:p w:rsidR="00BA020A" w:rsidRDefault="000F4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-Спеціалізовані (кабінети практичного психолога, соціального педагога, логопеда, методичні кабінети, фізіотерапевтичний)</w:t>
      </w:r>
    </w:p>
    <w:p w:rsidR="00BA020A" w:rsidRDefault="000F4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-Допоміжні та підсобні(вестибюль,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рекреаціі</w:t>
      </w:r>
      <w:proofErr w:type="spellEnd"/>
      <w:r>
        <w:rPr>
          <w:rFonts w:ascii="Times New Roman" w:hAnsi="Times New Roman" w:cs="Times New Roman"/>
          <w:sz w:val="28"/>
          <w:szCs w:val="28"/>
        </w:rPr>
        <w:t>, гардероби, санвузли)</w:t>
      </w:r>
    </w:p>
    <w:p w:rsidR="00BA020A" w:rsidRDefault="000F479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безпеки учнів забезпечується групування навчальних приміщень за віковими ознаками: навчальні секції для 1-х,2-4 класів є непрохідні.</w:t>
      </w:r>
    </w:p>
    <w:p w:rsidR="00BA020A" w:rsidRDefault="000F479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Навчальні кабінети обладнані з урахуванням санітарно-гігієнічних вимог та вимог охорони праці і безпеки життєдіяльності( ла</w:t>
      </w:r>
      <w:r>
        <w:rPr>
          <w:rFonts w:ascii="Times New Roman" w:hAnsi="Times New Roman" w:cs="Times New Roman"/>
          <w:sz w:val="28"/>
          <w:szCs w:val="28"/>
        </w:rPr>
        <w:t>борантські приміщення, спортивна зала).</w:t>
      </w:r>
    </w:p>
    <w:p w:rsidR="00BA020A" w:rsidRDefault="000F479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Кабінети початкової школи забезпечені наочно-дидактичним матеріалом-демонстраційним та для індивідуальної/групової роботи учнів, який виготовлений з безпечних та якісних матеріалів.</w:t>
      </w:r>
    </w:p>
    <w:p w:rsidR="00BA020A" w:rsidRDefault="000F479D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Територія та приміщення Центру оха</w:t>
      </w:r>
      <w:r>
        <w:rPr>
          <w:rFonts w:ascii="Times New Roman" w:hAnsi="Times New Roman" w:cs="Times New Roman"/>
          <w:sz w:val="28"/>
          <w:szCs w:val="28"/>
        </w:rPr>
        <w:t>йні та доглянуті.</w:t>
      </w:r>
    </w:p>
    <w:p w:rsidR="00BA020A" w:rsidRDefault="000F479D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Відповідно до вимог законів України «Про освіту», «Про охорону праці», «Положення про організацію роботи з охорони праці та безпеки життєдіяльності учасників освітнього процесу в установах і закладах освіти» в Центрі створена система орга</w:t>
      </w:r>
      <w:r>
        <w:rPr>
          <w:rFonts w:ascii="Times New Roman" w:hAnsi="Times New Roman" w:cs="Times New Roman"/>
          <w:sz w:val="28"/>
          <w:szCs w:val="28"/>
        </w:rPr>
        <w:t>нізації роботи та взаємного підпорядкування працівників з питань охорони праці та безпеки життєдіяльності за структурними підрозділами. Призначено відповідальних за стан охорони праці, пожежної безпеки, електробезпеки та безпеки життєдіяльності в кабінетах</w:t>
      </w:r>
      <w:r>
        <w:rPr>
          <w:rFonts w:ascii="Times New Roman" w:hAnsi="Times New Roman" w:cs="Times New Roman"/>
          <w:sz w:val="28"/>
          <w:szCs w:val="28"/>
        </w:rPr>
        <w:t xml:space="preserve"> і приміщеннях Центру, відповідального за електрогосподарство.</w:t>
      </w:r>
    </w:p>
    <w:p w:rsidR="00BA020A" w:rsidRDefault="000F47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Згідно з «Положенням про порядок проведення навчання і перевірки знань з питань охорони праці та безпеки життєдіяльності, періодично (відповідно нормативним документам), з усіма працівниками пр</w:t>
      </w:r>
      <w:r>
        <w:rPr>
          <w:rFonts w:ascii="Times New Roman" w:hAnsi="Times New Roman" w:cs="Times New Roman"/>
          <w:sz w:val="28"/>
          <w:szCs w:val="28"/>
        </w:rPr>
        <w:t xml:space="preserve">оводяться інструктажі з охорони праці. Проведено навчання та перевірку знань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електротехнологічних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працівників, які здійснюють експлуатацію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електротехнологічних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установок   з присвоєнням ІІ групи з електробезпеки. Проведено навчання та перевірка знань норма</w:t>
      </w:r>
      <w:r>
        <w:rPr>
          <w:rFonts w:ascii="Times New Roman" w:hAnsi="Times New Roman" w:cs="Times New Roman"/>
          <w:sz w:val="28"/>
          <w:szCs w:val="28"/>
        </w:rPr>
        <w:t>тивних документів з охорони праці працівників харчоблоку.  Перед початком нового та в кінці навчального року, перед канікулами проводяться інструктажі з безпеки життєдіяльності з учнями Центру. Всі робочі місця забезпечені інструкціями з охорони праці та б</w:t>
      </w:r>
      <w:r>
        <w:rPr>
          <w:rFonts w:ascii="Times New Roman" w:hAnsi="Times New Roman" w:cs="Times New Roman"/>
          <w:sz w:val="28"/>
          <w:szCs w:val="28"/>
        </w:rPr>
        <w:t xml:space="preserve">езпеки життєдіяльності. </w:t>
      </w:r>
    </w:p>
    <w:p w:rsidR="00BA020A" w:rsidRDefault="000F47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«Правил пожежної безпеки для закладів, установ і організацій системи освіти України» проводяться інструктажі при прийомі на роботу, та, два рази на рік, з пожежної безпеки.</w:t>
      </w:r>
    </w:p>
    <w:p w:rsidR="00BA020A" w:rsidRDefault="000F47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Навчальні кабінети, спортивна зала, кабінет </w:t>
      </w:r>
      <w:r>
        <w:rPr>
          <w:rFonts w:ascii="Times New Roman" w:hAnsi="Times New Roman" w:cs="Times New Roman"/>
          <w:sz w:val="28"/>
          <w:szCs w:val="28"/>
        </w:rPr>
        <w:t>ЛФК, майстерні облаштовані відповідно до правил вимог охорони праці та безпеки життєдіяльності.</w:t>
      </w:r>
    </w:p>
    <w:p w:rsidR="00BA020A" w:rsidRDefault="000F47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забезпечений первинними засобами пожежогасіння. Приміщення обладнані автоматичною пожежною сигналізацією. Пожежні виходи, шляхи евакуації знаходяться в на</w:t>
      </w:r>
      <w:r>
        <w:rPr>
          <w:rFonts w:ascii="Times New Roman" w:hAnsi="Times New Roman" w:cs="Times New Roman"/>
          <w:sz w:val="28"/>
          <w:szCs w:val="28"/>
        </w:rPr>
        <w:t>лежному стані, незахаращені. Проводилися практичні тренінги з евакуації учнів та працівників Центру на випадок надзвичайних ситуацій. Учні знають шляхи евакуації, де знаходяться пожежні еваковиходи та засоби пожежогасіння.</w:t>
      </w:r>
    </w:p>
    <w:p w:rsidR="00BA020A" w:rsidRDefault="000F479D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Педагоги знають послідовність дій</w:t>
      </w:r>
      <w:r>
        <w:rPr>
          <w:rFonts w:ascii="Times New Roman" w:hAnsi="Times New Roman" w:cs="Times New Roman"/>
          <w:sz w:val="28"/>
          <w:szCs w:val="28"/>
        </w:rPr>
        <w:t xml:space="preserve"> при виникненні пожежі чи інших надзвичайних ситуацій, правила охорони праці та безпеки життєдіяльності. </w:t>
      </w:r>
    </w:p>
    <w:p w:rsidR="00BA020A" w:rsidRDefault="000F479D">
      <w:pPr>
        <w:spacing w:line="276" w:lineRule="auto"/>
        <w:ind w:firstLine="4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Центр дбає про забезпечення умов для якісного і здорового харчування дітей. </w:t>
      </w:r>
      <w:r>
        <w:rPr>
          <w:rFonts w:ascii="Times New Roman" w:hAnsi="Times New Roman" w:cs="Times New Roman"/>
          <w:bCs/>
          <w:sz w:val="28"/>
          <w:szCs w:val="28"/>
        </w:rPr>
        <w:t xml:space="preserve">Відповідно до вимог у Центрі створено робочу групу “НАССР”. Члени групи: заступник директора з господарської частини-керівник групи, комірник, сестра медична з дієтичного харчування, лікар-педіатр. </w:t>
      </w:r>
    </w:p>
    <w:p w:rsidR="00BA020A" w:rsidRDefault="000F479D">
      <w:pPr>
        <w:spacing w:line="276" w:lineRule="auto"/>
        <w:ind w:firstLine="4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Розроблено програми-передумови:</w:t>
      </w:r>
    </w:p>
    <w:p w:rsidR="00BA020A" w:rsidRDefault="000F479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розплановано обідню зал</w:t>
      </w:r>
      <w:r>
        <w:rPr>
          <w:rFonts w:ascii="Times New Roman" w:hAnsi="Times New Roman" w:cs="Times New Roman"/>
          <w:bCs/>
          <w:sz w:val="28"/>
          <w:szCs w:val="28"/>
        </w:rPr>
        <w:t>у- розміщено  обідні столи, передбачивши відстань 100-150 см. Між столами та стінами 40-60 см, площа на одного учня 0,75см, придбано професійні робочі столи, стелажі для кухонного інвентаря та кухонного посуду;</w:t>
      </w:r>
    </w:p>
    <w:p w:rsidR="00BA020A" w:rsidRDefault="000F479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обладнано необхідним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прибиральним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інвентаре</w:t>
      </w:r>
      <w:r>
        <w:rPr>
          <w:rFonts w:ascii="Times New Roman" w:hAnsi="Times New Roman" w:cs="Times New Roman"/>
          <w:bCs/>
          <w:sz w:val="28"/>
          <w:szCs w:val="28"/>
        </w:rPr>
        <w:t>м для приміщення, щоб дотримуватися поточних технологічних режимів, проведено ремонтні роботи у приміщенні їдальні;</w:t>
      </w:r>
    </w:p>
    <w:p w:rsidR="00BA020A" w:rsidRDefault="000F479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покращено стан комунікацій: вентиляції, водопроводу та освітлення;</w:t>
      </w:r>
    </w:p>
    <w:p w:rsidR="00BA020A" w:rsidRDefault="000F479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вчасно проводяться процедури прибирання, миття і дезінфекції виробнич</w:t>
      </w:r>
      <w:r>
        <w:rPr>
          <w:rFonts w:ascii="Times New Roman" w:hAnsi="Times New Roman" w:cs="Times New Roman"/>
          <w:bCs/>
          <w:sz w:val="28"/>
          <w:szCs w:val="28"/>
        </w:rPr>
        <w:t>их, допоміжних та побутових приміщень та інших поверхонь із фіксуванням у відповідних журналах;</w:t>
      </w:r>
    </w:p>
    <w:p w:rsidR="00BA020A" w:rsidRDefault="000F479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сестрами медичними контролюється стан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здоров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Cs/>
          <w:sz w:val="28"/>
          <w:szCs w:val="28"/>
        </w:rPr>
        <w:t>я та гігієна персоналу харчоблоку.</w:t>
      </w:r>
    </w:p>
    <w:p w:rsidR="00BA020A" w:rsidRDefault="000F479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сестрою медичною з дієтичного харчування, комірником ведеться контроль за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стачанням харчової продукції: перевіряються сертифікати якості продукції, зберігання, транспортування . </w:t>
      </w:r>
    </w:p>
    <w:p w:rsidR="00BA020A" w:rsidRDefault="000F479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встановлено систему фільтрації та очищення води. </w:t>
      </w:r>
    </w:p>
    <w:p w:rsidR="00BA020A" w:rsidRDefault="000F479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придбано та встановлено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марміт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для перших страв,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слайсер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для нарізки овочів, ванну для миття кух</w:t>
      </w:r>
      <w:r>
        <w:rPr>
          <w:rFonts w:ascii="Times New Roman" w:hAnsi="Times New Roman" w:cs="Times New Roman"/>
          <w:bCs/>
          <w:sz w:val="28"/>
          <w:szCs w:val="28"/>
        </w:rPr>
        <w:t>онного інвентарю.</w:t>
      </w:r>
    </w:p>
    <w:p w:rsidR="00BA020A" w:rsidRDefault="000F479D">
      <w:pPr>
        <w:spacing w:line="276" w:lineRule="auto"/>
        <w:ind w:firstLine="4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Сестра медична з дієтичного харчування та шеф-кухар стежать, щоб був повноцінний та збалансований раціон у дитячому харчуванні.</w:t>
      </w:r>
    </w:p>
    <w:p w:rsidR="00BA020A" w:rsidRDefault="000F479D">
      <w:pPr>
        <w:spacing w:line="276" w:lineRule="auto"/>
        <w:ind w:firstLine="4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Обов’язковим є дотримання щоденного меню, яке затверджується директором закладу. З метою підвищення рівня куль</w:t>
      </w:r>
      <w:r>
        <w:rPr>
          <w:rFonts w:ascii="Times New Roman" w:hAnsi="Times New Roman" w:cs="Times New Roman"/>
          <w:bCs/>
          <w:sz w:val="28"/>
          <w:szCs w:val="28"/>
        </w:rPr>
        <w:t xml:space="preserve">тури харчування за кожним класом/групою у їдальні закріплені столи. Готові страви видаються кожному класу/групі окремо, відповідно до графіка харчування, затвердженого керівником Центру. </w:t>
      </w:r>
    </w:p>
    <w:p w:rsidR="00BA020A" w:rsidRDefault="000F479D">
      <w:pPr>
        <w:spacing w:line="276" w:lineRule="auto"/>
        <w:ind w:firstLine="42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Свіжа продукція надходить до їдальні невеликими партіями для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щоденного використання, що забезпечує приготування страв належної якості. Шкільна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їдальня функціонує з дотриманням санітарно-гігієнічних норм. Вона світла і простора. В обідній залі розміщені  стенди “Меню” і ”Чергові”, куточок для миття рук.</w:t>
      </w:r>
    </w:p>
    <w:p w:rsidR="00BA020A" w:rsidRDefault="000F479D">
      <w:pPr>
        <w:spacing w:line="276" w:lineRule="auto"/>
        <w:ind w:firstLine="4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Харчування дл</w:t>
      </w:r>
      <w:r>
        <w:rPr>
          <w:rFonts w:ascii="Times New Roman" w:hAnsi="Times New Roman" w:cs="Times New Roman"/>
          <w:bCs/>
          <w:sz w:val="28"/>
          <w:szCs w:val="28"/>
        </w:rPr>
        <w:t xml:space="preserve">я школярів включає групи продуктів, які багаті вітамінами, мінералами і мікроелементами, щоб насичувати молодий організм усім необхідним. </w:t>
      </w:r>
    </w:p>
    <w:p w:rsidR="00BA020A" w:rsidRDefault="000F479D">
      <w:pPr>
        <w:spacing w:line="276" w:lineRule="auto"/>
        <w:ind w:firstLine="4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Центрі організовано харчування 5 разів на день, при цьому дієтична сестра включає гарячі страви на сніданок, обід і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вечерю.</w:t>
      </w:r>
    </w:p>
    <w:p w:rsidR="00BA020A" w:rsidRDefault="000F479D">
      <w:pPr>
        <w:spacing w:line="276" w:lineRule="auto"/>
        <w:ind w:firstLine="4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раціоні дитячого харчування основою є такі продукти: злаки, м’ясо, риба, овочі, фрукти, горіхи, ягоди, молочні продукти, бобові.</w:t>
      </w:r>
    </w:p>
    <w:p w:rsidR="00BA020A" w:rsidRDefault="000F479D">
      <w:pPr>
        <w:spacing w:line="276" w:lineRule="auto"/>
        <w:ind w:firstLine="4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Із початку 2020 року у Центрі почали готувати страви за “Збірником рецептур страв для харчування дітей шкільного вік</w:t>
      </w:r>
      <w:r>
        <w:rPr>
          <w:rFonts w:ascii="Times New Roman" w:hAnsi="Times New Roman" w:cs="Times New Roman"/>
          <w:bCs/>
          <w:sz w:val="28"/>
          <w:szCs w:val="28"/>
        </w:rPr>
        <w:t xml:space="preserve">у в організованих освітніх та оздоровчих закладах”, у якому враховано сучасні вимоги щодо здорового харчування дітей (автор- Євген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Клопотенко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). Спостерігаючи та опитуючи дітей щодо змін у меню, помітили, що загалом, вихованцям подобаються нові страви.</w:t>
      </w:r>
    </w:p>
    <w:p w:rsidR="00BA020A" w:rsidRDefault="000F479D">
      <w:pPr>
        <w:spacing w:line="276" w:lineRule="auto"/>
        <w:ind w:firstLine="4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Це</w:t>
      </w:r>
      <w:r>
        <w:rPr>
          <w:rFonts w:ascii="Times New Roman" w:hAnsi="Times New Roman" w:cs="Times New Roman"/>
          <w:bCs/>
          <w:sz w:val="28"/>
          <w:szCs w:val="28"/>
        </w:rPr>
        <w:t>нтрі створено  умови для безпечного використання мережі Інтернет. На всіх комп’ютерах встановлено ліцензійні програми. Антивірусні програми встановлені, вчасно оновлюються. Користування Інтернет-ресурсами під час навчальних занять проводиться під контролем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педагогів. Постійно проводиться моніторинг шкільних ресурсів на предмет розміщення на них несанкціонованої інформації. Шляхом проведення семінарів, практикумів, тренінгів в учасників освітнього процесу формуються навички безпечної поведінки в Інтернеті.</w:t>
      </w:r>
    </w:p>
    <w:p w:rsidR="00BA020A" w:rsidRDefault="000F479D">
      <w:pPr>
        <w:spacing w:line="276" w:lineRule="auto"/>
        <w:ind w:firstLine="706"/>
        <w:jc w:val="both"/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ідповідно до </w:t>
      </w:r>
      <w:hyperlink r:id="rId12">
        <w:r>
          <w:rPr>
            <w:rStyle w:val="-"/>
            <w:rFonts w:ascii="Times New Roman" w:eastAsia="ArialMT" w:hAnsi="Times New Roman" w:cs="Times New Roman"/>
            <w:color w:val="000000"/>
            <w:sz w:val="28"/>
            <w:szCs w:val="28"/>
            <w:u w:val="none"/>
            <w:lang w:eastAsia="ru-RU"/>
          </w:rPr>
          <w:t>закон</w:t>
        </w:r>
      </w:hyperlink>
      <w:r>
        <w:rPr>
          <w:rFonts w:ascii="Times New Roman" w:eastAsia="ArialMT" w:hAnsi="Times New Roman" w:cs="Times New Roman"/>
          <w:color w:val="000000"/>
          <w:sz w:val="28"/>
          <w:szCs w:val="28"/>
          <w:lang w:eastAsia="ru-RU"/>
        </w:rPr>
        <w:t xml:space="preserve">ів </w:t>
      </w:r>
      <w:hyperlink r:id="rId13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України "Про освіту"</w:t>
        </w:r>
      </w:hyperlink>
      <w:r>
        <w:rPr>
          <w:rFonts w:ascii="Times New Roman" w:eastAsia="ArialMT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ArialMT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 внесення змін до деяких законодавчих актів України щодо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протидії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булінгу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(цькуванню)»,</w:t>
      </w: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наказу Міністерства освіти і науки України №1646 від 28.12.2019 року “Деякі питання реагування на випадки </w:t>
      </w:r>
      <w:proofErr w:type="spellStart"/>
      <w:r>
        <w:rPr>
          <w:rFonts w:ascii="Times New Roman" w:eastAsia="ArialMT" w:hAnsi="Times New Roman" w:cs="Times New Roman"/>
          <w:sz w:val="28"/>
          <w:szCs w:val="28"/>
          <w:lang w:eastAsia="ru-RU"/>
        </w:rPr>
        <w:t>булінгу</w:t>
      </w:r>
      <w:proofErr w:type="spellEnd"/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(цькування) та застосування заходів виховного впливу в закладах освіти”, з метою створення безпечного освітньог</w:t>
      </w: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о середовища у Центрі сформовано </w:t>
      </w:r>
      <w:proofErr w:type="spellStart"/>
      <w:r>
        <w:rPr>
          <w:rFonts w:ascii="Times New Roman" w:eastAsia="ArialMT" w:hAnsi="Times New Roman" w:cs="Times New Roman"/>
          <w:sz w:val="28"/>
          <w:szCs w:val="28"/>
          <w:lang w:eastAsia="ru-RU"/>
        </w:rPr>
        <w:t>антибулінгову</w:t>
      </w:r>
      <w:proofErr w:type="spellEnd"/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політику</w:t>
      </w:r>
      <w:r>
        <w:rPr>
          <w:rFonts w:ascii="Times New Roman" w:eastAsia="ArialMT" w:hAnsi="Times New Roman" w:cs="Times New Roman"/>
          <w:bCs/>
          <w:i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20A" w:rsidRDefault="000F479D">
      <w:pPr>
        <w:pStyle w:val="Standard"/>
        <w:spacing w:line="276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На сторінці сайту Центру оприлюднено </w:t>
      </w:r>
      <w:r>
        <w:rPr>
          <w:rFonts w:cs="Times New Roman"/>
          <w:bCs/>
          <w:sz w:val="28"/>
          <w:szCs w:val="28"/>
          <w:lang w:val="uk-UA"/>
        </w:rPr>
        <w:t xml:space="preserve">витяг із </w:t>
      </w:r>
      <w:proofErr w:type="spellStart"/>
      <w:r>
        <w:rPr>
          <w:rFonts w:cs="Times New Roman"/>
          <w:bCs/>
          <w:sz w:val="28"/>
          <w:szCs w:val="28"/>
          <w:lang w:val="uk-UA"/>
        </w:rPr>
        <w:t>Антибулінгової</w:t>
      </w:r>
      <w:proofErr w:type="spellEnd"/>
      <w:r>
        <w:rPr>
          <w:rFonts w:cs="Times New Roman"/>
          <w:bCs/>
          <w:sz w:val="28"/>
          <w:szCs w:val="28"/>
          <w:lang w:val="uk-UA"/>
        </w:rPr>
        <w:t xml:space="preserve"> політики, єдині правила для всіх учасників освітнього процесу</w:t>
      </w:r>
      <w:r>
        <w:rPr>
          <w:sz w:val="28"/>
          <w:szCs w:val="28"/>
          <w:lang w:val="uk-UA"/>
        </w:rPr>
        <w:t xml:space="preserve"> та План запобігання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(цькування). До розроблення Плану заходів, інф</w:t>
      </w:r>
      <w:r>
        <w:rPr>
          <w:sz w:val="28"/>
          <w:szCs w:val="28"/>
          <w:lang w:val="uk-UA"/>
        </w:rPr>
        <w:t xml:space="preserve">ормаційно-просвітницької роботи з учнями залучались інспектор ювенальної поліції </w:t>
      </w:r>
      <w:proofErr w:type="spellStart"/>
      <w:r>
        <w:rPr>
          <w:sz w:val="28"/>
          <w:szCs w:val="28"/>
          <w:lang w:val="uk-UA"/>
        </w:rPr>
        <w:t>Сахновщинського</w:t>
      </w:r>
      <w:proofErr w:type="spellEnd"/>
      <w:r>
        <w:rPr>
          <w:sz w:val="28"/>
          <w:szCs w:val="28"/>
          <w:lang w:val="uk-UA"/>
        </w:rPr>
        <w:t xml:space="preserve"> відділу Національної поліції у Харківській області, </w:t>
      </w:r>
      <w:r>
        <w:rPr>
          <w:rFonts w:cs="Times New Roman"/>
          <w:bCs/>
          <w:sz w:val="28"/>
          <w:szCs w:val="28"/>
          <w:lang w:val="uk-UA" w:eastAsia="ja-JP" w:bidi="fa-IR"/>
        </w:rPr>
        <w:t xml:space="preserve">спеціалісти служби у справах дітей та </w:t>
      </w:r>
      <w:proofErr w:type="spellStart"/>
      <w:r>
        <w:rPr>
          <w:rFonts w:cs="Times New Roman"/>
          <w:bCs/>
          <w:sz w:val="28"/>
          <w:szCs w:val="28"/>
          <w:lang w:val="uk-UA" w:eastAsia="ja-JP" w:bidi="fa-IR"/>
        </w:rPr>
        <w:t>Сахновщинського</w:t>
      </w:r>
      <w:proofErr w:type="spellEnd"/>
      <w:r>
        <w:rPr>
          <w:rFonts w:cs="Times New Roman"/>
          <w:bCs/>
          <w:sz w:val="28"/>
          <w:szCs w:val="28"/>
          <w:lang w:val="uk-UA" w:eastAsia="ja-JP" w:bidi="fa-IR"/>
        </w:rPr>
        <w:t xml:space="preserve"> центру соціальних служб для сім’ї, дітей та молоді</w:t>
      </w:r>
      <w:r>
        <w:rPr>
          <w:sz w:val="28"/>
          <w:szCs w:val="28"/>
          <w:lang w:val="uk-UA"/>
        </w:rPr>
        <w:t>. З</w:t>
      </w:r>
      <w:r>
        <w:rPr>
          <w:sz w:val="28"/>
          <w:szCs w:val="28"/>
          <w:lang w:val="uk-UA"/>
        </w:rPr>
        <w:t xml:space="preserve">аплановані заходи виконуються. </w:t>
      </w:r>
      <w:r>
        <w:rPr>
          <w:rFonts w:cs="Times New Roman"/>
          <w:bCs/>
          <w:sz w:val="28"/>
          <w:szCs w:val="28"/>
          <w:lang w:val="uk-UA" w:eastAsia="ja-JP" w:bidi="fa-IR"/>
        </w:rPr>
        <w:t>У 2019 році між г</w:t>
      </w:r>
      <w:r>
        <w:rPr>
          <w:rFonts w:eastAsia="Calibri" w:cs="Calibri"/>
          <w:bCs/>
          <w:sz w:val="28"/>
          <w:szCs w:val="20"/>
          <w:lang w:val="uk-UA" w:eastAsia="ru-RU" w:bidi="fa-IR"/>
        </w:rPr>
        <w:t>ромадською організацією «</w:t>
      </w:r>
      <w:proofErr w:type="spellStart"/>
      <w:r>
        <w:rPr>
          <w:rFonts w:eastAsia="Calibri" w:cs="Calibri"/>
          <w:bCs/>
          <w:sz w:val="28"/>
          <w:szCs w:val="20"/>
          <w:lang w:val="uk-UA" w:eastAsia="ru-RU" w:bidi="fa-IR"/>
        </w:rPr>
        <w:t>Докудейз</w:t>
      </w:r>
      <w:proofErr w:type="spellEnd"/>
      <w:r>
        <w:rPr>
          <w:rFonts w:eastAsia="Calibri" w:cs="Calibri"/>
          <w:bCs/>
          <w:sz w:val="28"/>
          <w:szCs w:val="20"/>
          <w:lang w:val="uk-UA" w:eastAsia="ru-RU" w:bidi="fa-IR"/>
        </w:rPr>
        <w:t xml:space="preserve">» та </w:t>
      </w:r>
      <w:r>
        <w:rPr>
          <w:rFonts w:eastAsia="Calibri" w:cs="Calibri"/>
          <w:bCs/>
          <w:sz w:val="28"/>
          <w:szCs w:val="28"/>
          <w:lang w:val="uk-UA" w:eastAsia="ru-RU" w:bidi="fa-IR"/>
        </w:rPr>
        <w:t xml:space="preserve">Центром укладено угоду про </w:t>
      </w:r>
      <w:r>
        <w:rPr>
          <w:rFonts w:eastAsia="Calibri" w:cs="Calibri"/>
          <w:bCs/>
          <w:sz w:val="28"/>
          <w:szCs w:val="28"/>
          <w:lang w:val="uk-UA" w:eastAsia="ru-RU" w:bidi="fa-IR"/>
        </w:rPr>
        <w:lastRenderedPageBreak/>
        <w:t>організацію та проведення педагогом соціальним</w:t>
      </w:r>
      <w:r>
        <w:rPr>
          <w:rFonts w:ascii="Calibri" w:eastAsia="Calibri" w:hAnsi="Calibri" w:cs="Calibri"/>
          <w:bCs/>
          <w:sz w:val="28"/>
          <w:szCs w:val="20"/>
          <w:lang w:val="uk-UA" w:eastAsia="ru-RU" w:bidi="fa-IR"/>
        </w:rPr>
        <w:t xml:space="preserve"> </w:t>
      </w:r>
      <w:r>
        <w:rPr>
          <w:rFonts w:eastAsia="Calibri" w:cs="Calibri"/>
          <w:bCs/>
          <w:sz w:val="28"/>
          <w:szCs w:val="20"/>
          <w:lang w:val="uk-UA" w:eastAsia="ru-RU" w:bidi="fa-IR"/>
        </w:rPr>
        <w:t xml:space="preserve">шкільного </w:t>
      </w:r>
      <w:r>
        <w:rPr>
          <w:rFonts w:eastAsia="Calibri" w:cs="Calibri"/>
          <w:bCs/>
          <w:sz w:val="28"/>
          <w:szCs w:val="20"/>
          <w:lang w:eastAsia="ru-RU" w:bidi="fa-IR"/>
        </w:rPr>
        <w:t>DOKU</w:t>
      </w:r>
      <w:r>
        <w:rPr>
          <w:rFonts w:eastAsia="Calibri" w:cs="Calibri"/>
          <w:bCs/>
          <w:sz w:val="28"/>
          <w:szCs w:val="20"/>
          <w:lang w:val="uk-UA" w:eastAsia="ru-RU" w:bidi="fa-IR"/>
        </w:rPr>
        <w:t xml:space="preserve">/ТИЖНЯ проти </w:t>
      </w:r>
      <w:proofErr w:type="spellStart"/>
      <w:r>
        <w:rPr>
          <w:rFonts w:eastAsia="Calibri" w:cs="Calibri"/>
          <w:bCs/>
          <w:sz w:val="28"/>
          <w:szCs w:val="20"/>
          <w:lang w:val="uk-UA" w:eastAsia="ru-RU" w:bidi="fa-IR"/>
        </w:rPr>
        <w:t>булінгу</w:t>
      </w:r>
      <w:proofErr w:type="spellEnd"/>
      <w:r>
        <w:rPr>
          <w:rFonts w:eastAsia="Calibri" w:cs="Calibri"/>
          <w:bCs/>
          <w:sz w:val="28"/>
          <w:szCs w:val="20"/>
          <w:lang w:val="uk-UA" w:eastAsia="ru-RU" w:bidi="fa-IR"/>
        </w:rPr>
        <w:t xml:space="preserve"> з учнями 5-9 класів.</w:t>
      </w:r>
    </w:p>
    <w:p w:rsidR="00BA020A" w:rsidRDefault="000F479D">
      <w:pPr>
        <w:pStyle w:val="ac"/>
        <w:spacing w:line="276" w:lineRule="auto"/>
        <w:ind w:firstLine="709"/>
        <w:jc w:val="both"/>
      </w:pPr>
      <w:r>
        <w:rPr>
          <w:sz w:val="28"/>
          <w:szCs w:val="28"/>
        </w:rPr>
        <w:t xml:space="preserve">Усі педагогічні працівники у 2020 році пройшли  навчання із запобігання та протидії насильства та </w:t>
      </w:r>
      <w:proofErr w:type="spellStart"/>
      <w:r>
        <w:rPr>
          <w:sz w:val="28"/>
          <w:szCs w:val="28"/>
        </w:rPr>
        <w:t>булінгу</w:t>
      </w:r>
      <w:proofErr w:type="spellEnd"/>
      <w:r>
        <w:rPr>
          <w:sz w:val="28"/>
          <w:szCs w:val="28"/>
        </w:rPr>
        <w:t xml:space="preserve">, закінчили курс «Протидія та попередження </w:t>
      </w:r>
      <w:proofErr w:type="spellStart"/>
      <w:r>
        <w:rPr>
          <w:sz w:val="28"/>
          <w:szCs w:val="28"/>
        </w:rPr>
        <w:t>булінгу</w:t>
      </w:r>
      <w:proofErr w:type="spellEnd"/>
      <w:r>
        <w:rPr>
          <w:sz w:val="28"/>
          <w:szCs w:val="28"/>
        </w:rPr>
        <w:t xml:space="preserve"> (цькуванню) в закладах освіти» на платформі </w:t>
      </w:r>
      <w:r>
        <w:rPr>
          <w:sz w:val="28"/>
          <w:szCs w:val="28"/>
          <w:lang w:val="en-US"/>
        </w:rPr>
        <w:t>Prometheus</w:t>
      </w:r>
      <w:r>
        <w:rPr>
          <w:sz w:val="28"/>
          <w:szCs w:val="28"/>
        </w:rPr>
        <w:t>, отримали сертифікати.</w:t>
      </w:r>
    </w:p>
    <w:p w:rsidR="00BA020A" w:rsidRDefault="000F479D">
      <w:pPr>
        <w:pStyle w:val="ac"/>
        <w:spacing w:line="276" w:lineRule="auto"/>
        <w:ind w:firstLine="709"/>
        <w:jc w:val="both"/>
      </w:pPr>
      <w:r>
        <w:rPr>
          <w:sz w:val="28"/>
          <w:szCs w:val="28"/>
        </w:rPr>
        <w:t>Соціально-психологічна</w:t>
      </w:r>
      <w:r>
        <w:rPr>
          <w:sz w:val="28"/>
          <w:szCs w:val="28"/>
        </w:rPr>
        <w:t xml:space="preserve"> служба Центру здійснює низку заходів із запобігання та реагування на випадки </w:t>
      </w:r>
      <w:proofErr w:type="spellStart"/>
      <w:r>
        <w:rPr>
          <w:sz w:val="28"/>
          <w:szCs w:val="28"/>
        </w:rPr>
        <w:t>булінгу</w:t>
      </w:r>
      <w:proofErr w:type="spellEnd"/>
      <w:r>
        <w:rPr>
          <w:sz w:val="28"/>
          <w:szCs w:val="28"/>
        </w:rPr>
        <w:t xml:space="preserve">: консультаційні години, спостереження за міжособистісною поведінкою учнів, соціальні дослідження наявності </w:t>
      </w:r>
      <w:r>
        <w:rPr>
          <w:sz w:val="28"/>
          <w:szCs w:val="28"/>
          <w:lang w:eastAsia="ru-RU"/>
        </w:rPr>
        <w:t>референтних груп та відторгнених, опитування (анкетування) учас</w:t>
      </w:r>
      <w:r>
        <w:rPr>
          <w:sz w:val="28"/>
          <w:szCs w:val="28"/>
          <w:lang w:eastAsia="ru-RU"/>
        </w:rPr>
        <w:t xml:space="preserve">ників освітнього процесу щодо </w:t>
      </w:r>
      <w:r>
        <w:rPr>
          <w:rFonts w:eastAsia="Andale Sans UI"/>
          <w:sz w:val="28"/>
          <w:szCs w:val="28"/>
          <w:lang w:eastAsia="ja-JP" w:bidi="fa-IR"/>
        </w:rPr>
        <w:t>виявлення жорстокого поводження школярів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та ін. У Центрі створено стенд із змінними матеріалами щодо запобігання та реагування на випадки </w:t>
      </w:r>
      <w:proofErr w:type="spellStart"/>
      <w:r>
        <w:rPr>
          <w:sz w:val="28"/>
          <w:szCs w:val="28"/>
        </w:rPr>
        <w:t>булінгу</w:t>
      </w:r>
      <w:proofErr w:type="spellEnd"/>
      <w:r>
        <w:rPr>
          <w:sz w:val="28"/>
          <w:szCs w:val="28"/>
        </w:rPr>
        <w:t>.</w:t>
      </w:r>
    </w:p>
    <w:p w:rsidR="00BA020A" w:rsidRDefault="000F479D">
      <w:pPr>
        <w:pStyle w:val="Standard"/>
        <w:spacing w:line="276" w:lineRule="auto"/>
        <w:ind w:firstLine="709"/>
        <w:jc w:val="both"/>
        <w:rPr>
          <w:lang w:val="ru-RU"/>
        </w:rPr>
      </w:pPr>
      <w:r>
        <w:rPr>
          <w:rFonts w:eastAsia="ArialMT" w:cs="Times New Roman"/>
          <w:bCs/>
          <w:sz w:val="28"/>
          <w:szCs w:val="28"/>
          <w:lang w:val="uk-UA"/>
        </w:rPr>
        <w:t>Педагогічні працівники проводять просвітницьку роботу з батьками щодо уникнення</w:t>
      </w:r>
      <w:r>
        <w:rPr>
          <w:rFonts w:eastAsia="ArialMT" w:cs="Times New Roman"/>
          <w:bCs/>
          <w:sz w:val="28"/>
          <w:szCs w:val="28"/>
          <w:lang w:val="uk-UA"/>
        </w:rPr>
        <w:t xml:space="preserve"> та розпізнавання насильницької поведінки до дитини/дитиною, як допомогти дитині в разі проявів </w:t>
      </w:r>
      <w:proofErr w:type="spellStart"/>
      <w:r>
        <w:rPr>
          <w:rFonts w:eastAsia="ArialMT" w:cs="Times New Roman"/>
          <w:bCs/>
          <w:sz w:val="28"/>
          <w:szCs w:val="28"/>
          <w:lang w:val="uk-UA"/>
        </w:rPr>
        <w:t>булінгу</w:t>
      </w:r>
      <w:proofErr w:type="spellEnd"/>
      <w:r>
        <w:rPr>
          <w:rFonts w:eastAsia="ArialMT" w:cs="Times New Roman"/>
          <w:bCs/>
          <w:sz w:val="28"/>
          <w:szCs w:val="28"/>
          <w:lang w:val="uk-UA"/>
        </w:rPr>
        <w:t>. Н</w:t>
      </w:r>
      <w:r>
        <w:rPr>
          <w:rFonts w:cs="Times New Roman"/>
          <w:bCs/>
          <w:sz w:val="28"/>
          <w:szCs w:val="28"/>
          <w:lang w:val="ru-RU"/>
        </w:rPr>
        <w:t xml:space="preserve">а </w:t>
      </w:r>
      <w:proofErr w:type="spellStart"/>
      <w:r>
        <w:rPr>
          <w:rFonts w:cs="Times New Roman"/>
          <w:bCs/>
          <w:sz w:val="28"/>
          <w:szCs w:val="28"/>
          <w:lang w:val="ru-RU"/>
        </w:rPr>
        <w:t>батьківських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Cs/>
          <w:sz w:val="28"/>
          <w:szCs w:val="28"/>
          <w:lang w:val="ru-RU"/>
        </w:rPr>
        <w:t>зборах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cs="Times New Roman"/>
          <w:bCs/>
          <w:sz w:val="28"/>
          <w:szCs w:val="28"/>
          <w:lang w:val="ru-RU"/>
        </w:rPr>
        <w:t>відбувається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Cs/>
          <w:sz w:val="28"/>
          <w:szCs w:val="28"/>
          <w:lang w:val="ru-RU"/>
        </w:rPr>
        <w:t>ознайомлення</w:t>
      </w:r>
      <w:proofErr w:type="spellEnd"/>
      <w:r>
        <w:rPr>
          <w:rFonts w:cs="Times New Roman"/>
          <w:bCs/>
          <w:sz w:val="28"/>
          <w:szCs w:val="28"/>
          <w:lang w:val="uk-UA"/>
        </w:rPr>
        <w:t xml:space="preserve"> батьків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Cs/>
          <w:sz w:val="28"/>
          <w:szCs w:val="28"/>
          <w:lang w:val="ru-RU"/>
        </w:rPr>
        <w:t>зі</w:t>
      </w:r>
      <w:proofErr w:type="spellEnd"/>
      <w:r>
        <w:rPr>
          <w:rFonts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bCs/>
          <w:sz w:val="28"/>
          <w:szCs w:val="28"/>
          <w:lang w:val="ru-RU"/>
        </w:rPr>
        <w:t>стратегіями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Cs/>
          <w:sz w:val="28"/>
          <w:szCs w:val="28"/>
          <w:lang w:val="ru-RU"/>
        </w:rPr>
        <w:t>батьківської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Cs/>
          <w:sz w:val="28"/>
          <w:szCs w:val="28"/>
          <w:lang w:val="ru-RU"/>
        </w:rPr>
        <w:t>поведінки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в тих </w:t>
      </w:r>
      <w:proofErr w:type="spellStart"/>
      <w:r>
        <w:rPr>
          <w:rFonts w:cs="Times New Roman"/>
          <w:bCs/>
          <w:sz w:val="28"/>
          <w:szCs w:val="28"/>
          <w:lang w:val="ru-RU"/>
        </w:rPr>
        <w:t>чи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Cs/>
          <w:sz w:val="28"/>
          <w:szCs w:val="28"/>
          <w:lang w:val="ru-RU"/>
        </w:rPr>
        <w:t>інших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Cs/>
          <w:sz w:val="28"/>
          <w:szCs w:val="28"/>
          <w:lang w:val="ru-RU"/>
        </w:rPr>
        <w:t>неприйнятних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Cs/>
          <w:sz w:val="28"/>
          <w:szCs w:val="28"/>
          <w:lang w:val="ru-RU"/>
        </w:rPr>
        <w:t>ситуаціях</w:t>
      </w:r>
      <w:proofErr w:type="spellEnd"/>
      <w:r>
        <w:rPr>
          <w:rFonts w:cs="Times New Roman"/>
          <w:bCs/>
          <w:sz w:val="28"/>
          <w:szCs w:val="28"/>
          <w:lang w:val="ru-RU"/>
        </w:rPr>
        <w:t>.</w:t>
      </w:r>
    </w:p>
    <w:p w:rsidR="00BA020A" w:rsidRDefault="000F479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березні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2020 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оку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операційного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плану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внутрішнього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аудиту на 2020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перевірено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роботу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безпечного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Центрі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антибулінгова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політика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Порушень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виявлено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A020A" w:rsidRDefault="000F479D">
      <w:pPr>
        <w:pStyle w:val="ac"/>
        <w:spacing w:line="276" w:lineRule="auto"/>
        <w:ind w:firstLine="709"/>
        <w:jc w:val="both"/>
      </w:pPr>
      <w:r>
        <w:rPr>
          <w:sz w:val="28"/>
          <w:szCs w:val="28"/>
        </w:rPr>
        <w:t>Керівництво, педагогічні працівники, працівники Центру знають і</w:t>
      </w:r>
      <w:r>
        <w:rPr>
          <w:sz w:val="28"/>
          <w:szCs w:val="28"/>
        </w:rPr>
        <w:t xml:space="preserve"> дотримуються прийнятої у закладі </w:t>
      </w:r>
      <w:proofErr w:type="spellStart"/>
      <w:r>
        <w:rPr>
          <w:sz w:val="28"/>
          <w:szCs w:val="28"/>
        </w:rPr>
        <w:t>антибулінгової</w:t>
      </w:r>
      <w:proofErr w:type="spellEnd"/>
      <w:r>
        <w:rPr>
          <w:sz w:val="28"/>
          <w:szCs w:val="28"/>
        </w:rPr>
        <w:t xml:space="preserve"> політики. Звернень щодо випадків </w:t>
      </w:r>
      <w:proofErr w:type="spellStart"/>
      <w:r>
        <w:rPr>
          <w:sz w:val="28"/>
          <w:szCs w:val="28"/>
        </w:rPr>
        <w:t>булінгу</w:t>
      </w:r>
      <w:proofErr w:type="spellEnd"/>
      <w:r>
        <w:rPr>
          <w:sz w:val="28"/>
          <w:szCs w:val="28"/>
        </w:rPr>
        <w:t xml:space="preserve"> у 2019/2020 навчальному році не було.</w:t>
      </w:r>
    </w:p>
    <w:p w:rsidR="00BA020A" w:rsidRDefault="000F479D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 закладі оприлюднено правила поведінки учнів та  правила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внутрішкільного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розпорядку, що забезпечують дотримання етичних норм, </w:t>
      </w:r>
      <w:r>
        <w:rPr>
          <w:rFonts w:ascii="Times New Roman" w:hAnsi="Times New Roman" w:cs="Times New Roman"/>
          <w:bCs/>
          <w:sz w:val="28"/>
          <w:szCs w:val="28"/>
        </w:rPr>
        <w:t>повагу до гідності, прав і свобод людини. Учні та працівники Центру ознайомлені із правилами.</w:t>
      </w:r>
    </w:p>
    <w:p w:rsidR="00BA020A" w:rsidRDefault="000F479D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 Центрі організована робота психологічної служби щодо виявлення, реагування, запобігання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 іншим формам насильства та дискримінації. Проводяться консуль</w:t>
      </w:r>
      <w:r>
        <w:rPr>
          <w:rFonts w:ascii="Times New Roman" w:hAnsi="Times New Roman" w:cs="Times New Roman"/>
          <w:bCs/>
          <w:sz w:val="28"/>
          <w:szCs w:val="28"/>
        </w:rPr>
        <w:t>тації, психолого-педагогічні семінари, тренінги за участю учасників освітнього процесу.</w:t>
      </w:r>
    </w:p>
    <w:p w:rsidR="00BA020A" w:rsidRDefault="000F479D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Центр забезпечує гнучке та комфортне середовище для всіх учасників освітнього процесу, яке відповідає основним принципам інклюзивної освіти, рівності та поваги до прав </w:t>
      </w:r>
      <w:r>
        <w:rPr>
          <w:rFonts w:ascii="Times New Roman" w:hAnsi="Times New Roman" w:cs="Times New Roman"/>
          <w:bCs/>
          <w:sz w:val="28"/>
          <w:szCs w:val="28"/>
        </w:rPr>
        <w:t>людини.</w:t>
      </w:r>
    </w:p>
    <w:p w:rsidR="00BA020A" w:rsidRDefault="000F479D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Застосовано принцип розумного пристосування вже збудованих приміщень: </w:t>
      </w:r>
    </w:p>
    <w:p w:rsidR="00BA020A" w:rsidRDefault="000F479D">
      <w:pPr>
        <w:spacing w:line="276" w:lineRule="auto"/>
        <w:ind w:firstLine="4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внесено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модифікації до будівлі (встановлено пандус, туалетна кімната в навчальному корпусі пристосована для осіб із обмеженими фізичними можливостями);</w:t>
      </w:r>
    </w:p>
    <w:p w:rsidR="00BA020A" w:rsidRDefault="000F479D">
      <w:pPr>
        <w:spacing w:line="276" w:lineRule="auto"/>
        <w:ind w:firstLine="4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-інформативність (в наяв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ності позначки, написи на дверях). </w:t>
      </w:r>
    </w:p>
    <w:p w:rsidR="00BA020A" w:rsidRDefault="000F479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взаємодіє з батьками дітей, співпрацює з фахівцями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>-ресурсного центру, залучаючи їх до необхідної підтримки дітей під час освітнього процесу.</w:t>
      </w:r>
    </w:p>
    <w:p w:rsidR="00BA020A" w:rsidRDefault="000F479D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Основною метою корекційної роботи у закладі є подолання </w:t>
      </w:r>
      <w:r>
        <w:rPr>
          <w:rFonts w:ascii="Times New Roman" w:hAnsi="Times New Roman" w:cs="Times New Roman"/>
          <w:sz w:val="28"/>
          <w:szCs w:val="28"/>
        </w:rPr>
        <w:t xml:space="preserve">шкільної дезадаптації учнів за рахунок формування ключових компетенцій, ліквідації  порушень мовлення та прогалин немовних функцій шляхом розвитку, виховання та корекції всіх сфер (рухової, дихальної, сенсорної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</w:rPr>
        <w:t>) дитячого організму. На початку року пр</w:t>
      </w:r>
      <w:r>
        <w:rPr>
          <w:rFonts w:ascii="Times New Roman" w:hAnsi="Times New Roman" w:cs="Times New Roman"/>
          <w:sz w:val="28"/>
          <w:szCs w:val="28"/>
        </w:rPr>
        <w:t xml:space="preserve">оведено обстеження новоприбулих учнів Центру і визначено напрямки корекційної роботи. Отримані дані дозволили зарахувати  учнів до логопедичних груп з яких сформовано 6 груп та вироблено план подолання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недоліків. Всі інші учні Центру охоплені корекц</w:t>
      </w:r>
      <w:r>
        <w:rPr>
          <w:rFonts w:ascii="Times New Roman" w:hAnsi="Times New Roman" w:cs="Times New Roman"/>
          <w:sz w:val="28"/>
          <w:szCs w:val="28"/>
        </w:rPr>
        <w:t>ійно-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розвитковими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заняттями відповідно до потреби.</w:t>
      </w:r>
    </w:p>
    <w:p w:rsidR="00BA020A" w:rsidRDefault="000F479D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Порівнюючи результати  корекційної роботи із учнями з початку навчального року і до закінчення, слід відзначити, що позитивна динаміка спостерігається у більшості учнів.</w:t>
      </w:r>
    </w:p>
    <w:p w:rsidR="00BA020A" w:rsidRDefault="000F479D">
      <w:pPr>
        <w:pStyle w:val="ac"/>
        <w:spacing w:line="276" w:lineRule="auto"/>
        <w:ind w:firstLine="708"/>
        <w:jc w:val="both"/>
        <w:rPr>
          <w:i/>
        </w:rPr>
      </w:pPr>
      <w:r>
        <w:rPr>
          <w:sz w:val="28"/>
          <w:szCs w:val="28"/>
        </w:rPr>
        <w:t>Проведено індивідуальні бесіди – ко</w:t>
      </w:r>
      <w:r>
        <w:rPr>
          <w:sz w:val="28"/>
          <w:szCs w:val="28"/>
        </w:rPr>
        <w:t>нсультації із педагогами, які  навчали дітей у попередні роки,  надавались рекомендації  батькам учнів, які навчаються у Центрі, а також тим батькам, які звертались за консультативною допомогою. У 2019/2020 навчальному році трьом учням, які навчаються в ін</w:t>
      </w:r>
      <w:r>
        <w:rPr>
          <w:sz w:val="28"/>
          <w:szCs w:val="28"/>
        </w:rPr>
        <w:t>ших закладах загальної середньої освіти, надавались реабілітаційні послуги. В залучених учнів спостерігаються позитивні зрушення</w:t>
      </w:r>
      <w:r>
        <w:rPr>
          <w:i/>
          <w:sz w:val="28"/>
          <w:szCs w:val="28"/>
        </w:rPr>
        <w:t>.</w:t>
      </w:r>
    </w:p>
    <w:p w:rsidR="00BA020A" w:rsidRDefault="000F479D">
      <w:pPr>
        <w:spacing w:line="276" w:lineRule="auto"/>
        <w:ind w:firstLine="4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Відповідно до ст.26 Закону України «Про освіту» керівник закладу освіти сприяє здоровому способу життя учасників освітнього п</w:t>
      </w:r>
      <w:r>
        <w:rPr>
          <w:rFonts w:ascii="Times New Roman" w:hAnsi="Times New Roman" w:cs="Times New Roman"/>
          <w:bCs/>
          <w:sz w:val="28"/>
          <w:szCs w:val="28"/>
        </w:rPr>
        <w:t>роцесу. З метою реалізації Закону в освітньому процесі простежується наскрізне включення тем про здорове харчування, заняття спортом, правила екологічної поведінки, вихованці різного віку залучені до занять у спортивній секції з футболу, з настільного тені</w:t>
      </w:r>
      <w:r>
        <w:rPr>
          <w:rFonts w:ascii="Times New Roman" w:hAnsi="Times New Roman" w:cs="Times New Roman"/>
          <w:bCs/>
          <w:sz w:val="28"/>
          <w:szCs w:val="28"/>
        </w:rPr>
        <w:t>су хореографічному гуртку, заняттях із ритміки. Проводяться спортивні змагання із залученням учнів різного віку, педагогів та батьків. У закладі створено можливості для рухової активності: в приміщеннях встановлені тенісні столи. Педагогічні працівники осо</w:t>
      </w:r>
      <w:r>
        <w:rPr>
          <w:rFonts w:ascii="Times New Roman" w:hAnsi="Times New Roman" w:cs="Times New Roman"/>
          <w:bCs/>
          <w:sz w:val="28"/>
          <w:szCs w:val="28"/>
        </w:rPr>
        <w:t xml:space="preserve">бистим прикладом мотивують дітей до ведення здорового способу життя, займаються настільним тенісом разом із вихованцями. Але в учнів немає доступу до спортивного обладнання під час перерв (у холодну пору року). На території Центру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розміщені ігровий (для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чаткових класів) та спортивний майданчики, встановлено тренажерний майданчик. У закладі розроблено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«Здорові українці-здорова нація», який охопить вихованців та педагогічних працівників та розпочне діяти у 2020/2021 навчальному році. </w:t>
      </w:r>
    </w:p>
    <w:p w:rsidR="00BA020A" w:rsidRDefault="000F479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Освітня діяльн</w:t>
      </w:r>
      <w:r>
        <w:rPr>
          <w:rFonts w:ascii="Times New Roman" w:hAnsi="Times New Roman" w:cs="Times New Roman"/>
          <w:bCs/>
          <w:sz w:val="28"/>
          <w:szCs w:val="28"/>
        </w:rPr>
        <w:t>ість у Центрі неможлива без створення інформаційного простору. Бібліотека як безпосередня частина інформаційного простору здійснює пошук і підбір для учасників освітнього процесу навчальної, науково-популярної та художньої літератури. Відповідно до плану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оботи Центру у бібліотеці проведено заходи до знаменних та пам’ятних дат. Бібліотекар Центру створила електронну базу бібліотечного фонду. </w:t>
      </w:r>
    </w:p>
    <w:p w:rsidR="00BA020A" w:rsidRDefault="000F479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початок 2019/2020 навчального року у Центрі навчалось 120 учнів, укомплектовано 11 класів, найбільша наповнюваніс</w:t>
      </w:r>
      <w:r>
        <w:rPr>
          <w:rFonts w:ascii="Times New Roman" w:hAnsi="Times New Roman" w:cs="Times New Roman"/>
          <w:sz w:val="28"/>
          <w:szCs w:val="28"/>
        </w:rPr>
        <w:t>ть класів 15 учнів (3 клас, 8 клас), найменша - 9 учнів (9 клас).</w:t>
      </w:r>
    </w:p>
    <w:p w:rsidR="00BA020A" w:rsidRDefault="000F479D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 до Закону України «Про освіту» та з метою забезпечення конституційного права громадян на здобуття повної загальної освіти та вдосконалення постійного контролю за охопленням навчан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ням й вихованням дітей шкільного віку, в Центрі здійснюється контроль за відвідуванням учнями  навчальних занять. У Центрі ведеться планомірна робота з контролю за відвідуванням учнями навчальних занять, попередження прогулів. Згідно з планом роботи провед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ені наради  при директору з контролю по відвідуванню  Центру учнями. Встановлено наступне: </w:t>
      </w:r>
    </w:p>
    <w:p w:rsidR="00BA020A" w:rsidRDefault="000F479D">
      <w:pPr>
        <w:pStyle w:val="ad"/>
        <w:numPr>
          <w:ilvl w:val="0"/>
          <w:numId w:val="1"/>
        </w:numPr>
        <w:spacing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класні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керівники</w:t>
      </w:r>
      <w:proofErr w:type="spellEnd"/>
      <w:r>
        <w:rPr>
          <w:color w:val="000000" w:themeColor="text1"/>
          <w:sz w:val="28"/>
          <w:szCs w:val="28"/>
        </w:rPr>
        <w:t xml:space="preserve"> у </w:t>
      </w:r>
      <w:proofErr w:type="spellStart"/>
      <w:r>
        <w:rPr>
          <w:color w:val="000000" w:themeColor="text1"/>
          <w:sz w:val="28"/>
          <w:szCs w:val="28"/>
        </w:rPr>
        <w:t>класних</w:t>
      </w:r>
      <w:proofErr w:type="spellEnd"/>
      <w:r>
        <w:rPr>
          <w:color w:val="000000" w:themeColor="text1"/>
          <w:sz w:val="28"/>
          <w:szCs w:val="28"/>
        </w:rPr>
        <w:t xml:space="preserve"> журналах </w:t>
      </w:r>
      <w:proofErr w:type="spellStart"/>
      <w:r>
        <w:rPr>
          <w:color w:val="000000" w:themeColor="text1"/>
          <w:sz w:val="28"/>
          <w:szCs w:val="28"/>
        </w:rPr>
        <w:t>заповнюють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щодня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сторінку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color w:val="000000" w:themeColor="text1"/>
          <w:sz w:val="28"/>
          <w:szCs w:val="28"/>
        </w:rPr>
        <w:t>обл</w:t>
      </w:r>
      <w:proofErr w:type="gramEnd"/>
      <w:r>
        <w:rPr>
          <w:color w:val="000000" w:themeColor="text1"/>
          <w:sz w:val="28"/>
          <w:szCs w:val="28"/>
        </w:rPr>
        <w:t>іку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відвідування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учнями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Центру</w:t>
      </w:r>
      <w:r>
        <w:rPr>
          <w:color w:val="000000" w:themeColor="text1"/>
          <w:sz w:val="28"/>
          <w:szCs w:val="28"/>
        </w:rPr>
        <w:t>;</w:t>
      </w:r>
    </w:p>
    <w:p w:rsidR="00BA020A" w:rsidRDefault="000F479D">
      <w:pPr>
        <w:pStyle w:val="ad"/>
        <w:numPr>
          <w:ilvl w:val="0"/>
          <w:numId w:val="1"/>
        </w:numPr>
        <w:spacing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у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Центрі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ведеться</w:t>
      </w:r>
      <w:proofErr w:type="spellEnd"/>
      <w:r>
        <w:rPr>
          <w:color w:val="000000" w:themeColor="text1"/>
          <w:sz w:val="28"/>
          <w:szCs w:val="28"/>
        </w:rPr>
        <w:t xml:space="preserve"> журнал контролю, у </w:t>
      </w:r>
      <w:proofErr w:type="spellStart"/>
      <w:r>
        <w:rPr>
          <w:color w:val="000000" w:themeColor="text1"/>
          <w:sz w:val="28"/>
          <w:szCs w:val="28"/>
        </w:rPr>
        <w:t>якому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фіксуються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відсутні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учн</w:t>
      </w:r>
      <w:r>
        <w:rPr>
          <w:color w:val="000000" w:themeColor="text1"/>
          <w:sz w:val="28"/>
          <w:szCs w:val="28"/>
        </w:rPr>
        <w:t>і</w:t>
      </w:r>
      <w:proofErr w:type="spellEnd"/>
      <w:r>
        <w:rPr>
          <w:color w:val="000000" w:themeColor="text1"/>
          <w:sz w:val="28"/>
          <w:szCs w:val="28"/>
        </w:rPr>
        <w:t xml:space="preserve"> за </w:t>
      </w:r>
      <w:proofErr w:type="spellStart"/>
      <w:r>
        <w:rPr>
          <w:color w:val="000000" w:themeColor="text1"/>
          <w:sz w:val="28"/>
          <w:szCs w:val="28"/>
        </w:rPr>
        <w:t>кожний</w:t>
      </w:r>
      <w:proofErr w:type="spellEnd"/>
      <w:r>
        <w:rPr>
          <w:color w:val="000000" w:themeColor="text1"/>
          <w:sz w:val="28"/>
          <w:szCs w:val="28"/>
        </w:rPr>
        <w:t xml:space="preserve"> день;</w:t>
      </w:r>
    </w:p>
    <w:p w:rsidR="00BA020A" w:rsidRDefault="000F479D">
      <w:pPr>
        <w:pStyle w:val="ad"/>
        <w:numPr>
          <w:ilvl w:val="0"/>
          <w:numId w:val="1"/>
        </w:numPr>
        <w:spacing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учні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намагаються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>ідтвердити</w:t>
      </w:r>
      <w:proofErr w:type="spellEnd"/>
      <w:r>
        <w:rPr>
          <w:color w:val="000000" w:themeColor="text1"/>
          <w:sz w:val="28"/>
          <w:szCs w:val="28"/>
        </w:rPr>
        <w:t xml:space="preserve"> пропуски документально.</w:t>
      </w:r>
    </w:p>
    <w:p w:rsidR="00BA020A" w:rsidRDefault="000F479D">
      <w:pPr>
        <w:spacing w:after="360"/>
        <w:ind w:firstLine="708"/>
        <w:jc w:val="both"/>
        <w:textAlignment w:val="baseline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порівнянні з минулим навчальним роком кількість пропусків без поважних причин учнями стало значно менше. Це можна пояснити контактом класних керівників з батьками учнів, а також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кропіткою роботою з учнями всього педагогічного колективу Центру</w:t>
      </w:r>
      <w:r>
        <w:rPr>
          <w:i/>
          <w:color w:val="000000" w:themeColor="text1"/>
          <w:sz w:val="28"/>
          <w:szCs w:val="28"/>
        </w:rPr>
        <w:t>.</w:t>
      </w:r>
    </w:p>
    <w:p w:rsidR="00BA020A" w:rsidRDefault="00BA020A">
      <w:pPr>
        <w:spacing w:after="360"/>
        <w:ind w:firstLine="708"/>
        <w:jc w:val="both"/>
        <w:textAlignment w:val="baseline"/>
        <w:rPr>
          <w:i/>
          <w:color w:val="000000" w:themeColor="text1"/>
          <w:sz w:val="28"/>
          <w:szCs w:val="28"/>
        </w:rPr>
      </w:pPr>
    </w:p>
    <w:p w:rsidR="00BA020A" w:rsidRDefault="00BA020A">
      <w:pPr>
        <w:spacing w:after="360"/>
        <w:ind w:firstLine="708"/>
        <w:jc w:val="both"/>
        <w:textAlignment w:val="baseline"/>
        <w:rPr>
          <w:i/>
          <w:color w:val="000000" w:themeColor="text1"/>
          <w:sz w:val="28"/>
          <w:szCs w:val="28"/>
        </w:rPr>
      </w:pPr>
    </w:p>
    <w:p w:rsidR="00BA020A" w:rsidRDefault="000F4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ІІ. ОЦІНЮВАННЯ ЗДОБУВАЧІВ ОСВІТИ ЦЕНТРУ</w:t>
      </w:r>
    </w:p>
    <w:p w:rsidR="00BA020A" w:rsidRDefault="000F479D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Протягом навчального року в Центрі розроблена та запроваджена система оцінювання здобувачів освіти. Відповідно до навчальних програм із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урахуванням </w:t>
      </w:r>
      <w:r>
        <w:rPr>
          <w:rFonts w:ascii="Times New Roman" w:hAnsi="Times New Roman" w:cs="Times New Roman"/>
          <w:sz w:val="28"/>
          <w:szCs w:val="28"/>
        </w:rPr>
        <w:t>навчальних можливостей учнів вчителі-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розробили та оприлюднили критерії оцінювання. Загальна спрямованість системи оцінювання спрямована на формування в здобувачів освіти відповідальності за результати свого навчання, здатності до самооцінки. Ви</w:t>
      </w:r>
      <w:r>
        <w:rPr>
          <w:rFonts w:ascii="Times New Roman" w:hAnsi="Times New Roman" w:cs="Times New Roman"/>
          <w:sz w:val="28"/>
          <w:szCs w:val="28"/>
        </w:rPr>
        <w:t>користання системи оцінювання сприяє моніторингу навчальних досягнень кожного здобувача освіти.</w:t>
      </w:r>
    </w:p>
    <w:p w:rsidR="00BA020A" w:rsidRDefault="000F479D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Навчання за програмою Нової української школи спонукало дітей застосовувати знання на практиці. На кінець навчального року всі учні перших та других класів отри</w:t>
      </w:r>
      <w:r>
        <w:rPr>
          <w:rFonts w:ascii="Times New Roman" w:hAnsi="Times New Roman" w:cs="Times New Roman"/>
          <w:sz w:val="28"/>
          <w:szCs w:val="28"/>
        </w:rPr>
        <w:t xml:space="preserve">мали «Свідоцтво Досягнень»- це вичерпна характеристика того, як дитина зростає над собою, а не просто дані її навчальних можливостей.   </w:t>
      </w:r>
    </w:p>
    <w:p w:rsidR="00BA020A" w:rsidRDefault="000F479D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свідчить аналіз результатів річного оцінювання навчальних досягнень учнів 3-9 класів, переважна більшість дітей навч</w:t>
      </w:r>
      <w:r>
        <w:rPr>
          <w:rFonts w:ascii="Times New Roman" w:hAnsi="Times New Roman" w:cs="Times New Roman"/>
          <w:sz w:val="28"/>
          <w:szCs w:val="28"/>
        </w:rPr>
        <w:t>ається на середньому рівні. За результатами річного оцінювання атестовано всіх учнів. Високий навчальний рівень відсутній, на достатньому рівні навчається 10% учнів, середньому - 75 % учнів, початковому-15%. Даний факт свідчить, що значна кількість дітей м</w:t>
      </w:r>
      <w:r>
        <w:rPr>
          <w:rFonts w:ascii="Times New Roman" w:hAnsi="Times New Roman" w:cs="Times New Roman"/>
          <w:sz w:val="28"/>
          <w:szCs w:val="28"/>
        </w:rPr>
        <w:t>ає порушення емоційно-вольової сфери, мовлення, недостатньо сформовану мотивацію до навчання та потребує постійної корекційної роботи. Навчальний процес побудовано із урахуванням особливостей та можливостей дітей із затримкою психічного розвитку, порушення</w:t>
      </w:r>
      <w:r>
        <w:rPr>
          <w:rFonts w:ascii="Times New Roman" w:hAnsi="Times New Roman" w:cs="Times New Roman"/>
          <w:sz w:val="28"/>
          <w:szCs w:val="28"/>
        </w:rPr>
        <w:t>ми інтелекту та порушенням мовлення.</w:t>
      </w:r>
    </w:p>
    <w:p w:rsidR="00BA020A" w:rsidRDefault="000F479D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Протягом 2019/2020 навчального року вчителі Центру працювали за навчальними програмами інтенсивної педагогічної корекції, затвердженими Міністерством освіти і науки України. На кінець навчального року освітні програми </w:t>
      </w:r>
      <w:r>
        <w:rPr>
          <w:rFonts w:ascii="Times New Roman" w:hAnsi="Times New Roman" w:cs="Times New Roman"/>
          <w:sz w:val="28"/>
          <w:szCs w:val="28"/>
        </w:rPr>
        <w:t>виконані як кількісно, так і якісно. Запланована кількість годин відображена в класних журналах. Навчальний матеріал викладався послідовно, без скорочень з урахуванням дистанційного навчання на період карантину.</w:t>
      </w:r>
    </w:p>
    <w:p w:rsidR="00BA020A" w:rsidRDefault="000F479D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Відповідно до навчального плану з учнями, як</w:t>
      </w:r>
      <w:r>
        <w:rPr>
          <w:rFonts w:ascii="Times New Roman" w:hAnsi="Times New Roman" w:cs="Times New Roman"/>
          <w:sz w:val="28"/>
          <w:szCs w:val="28"/>
        </w:rPr>
        <w:t>і мали індивідуальні особливості розвитку, не засвоювали навчальний матеріал, мали проблеми із здоров’ям, проводилася корекційна робота, заняття із розвитку мовлення, лікувальної фізкультури, корекції розвитку, соціально-побутового орієнтування.</w:t>
      </w:r>
    </w:p>
    <w:p w:rsidR="00BA020A" w:rsidRDefault="00BA020A">
      <w:pPr>
        <w:spacing w:line="276" w:lineRule="auto"/>
        <w:jc w:val="both"/>
        <w:rPr>
          <w:i/>
          <w:color w:val="FF0000"/>
          <w:sz w:val="28"/>
          <w:szCs w:val="28"/>
        </w:rPr>
      </w:pPr>
    </w:p>
    <w:p w:rsidR="00BA020A" w:rsidRDefault="000F4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ІІІ. ПЕДА</w:t>
      </w:r>
      <w:r>
        <w:rPr>
          <w:rFonts w:ascii="Times New Roman" w:hAnsi="Times New Roman" w:cs="Times New Roman"/>
          <w:sz w:val="28"/>
          <w:szCs w:val="28"/>
        </w:rPr>
        <w:t>ГОГІЧНА ДІЯЛЬНІСТЬ ПЕДАГОГІЧНИХ ПРАЦІВНИКІВ ЦЕНТРУ</w:t>
      </w:r>
    </w:p>
    <w:p w:rsidR="00BA020A" w:rsidRDefault="000F479D">
      <w:pPr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 метою реалізації головної педагогічної теми «Соціальна адаптація дітей із порушенням інтелекту у сучасному суспільстві» протягом навчального року відбулися засідання педагогічної ради, під час яких висв</w:t>
      </w:r>
      <w:r>
        <w:rPr>
          <w:rFonts w:ascii="Times New Roman" w:hAnsi="Times New Roman" w:cs="Times New Roman"/>
          <w:sz w:val="28"/>
          <w:szCs w:val="28"/>
        </w:rPr>
        <w:t xml:space="preserve">ітлювалися основні питання методичної роботи Центру. Зокрема, підбивалися підсумки роботи колективу над проблемними питаннями, ставилися завдання, спрямовані на </w:t>
      </w:r>
      <w:r>
        <w:rPr>
          <w:rFonts w:ascii="Times New Roman" w:hAnsi="Times New Roman" w:cs="Times New Roman"/>
          <w:sz w:val="28"/>
          <w:szCs w:val="28"/>
        </w:rPr>
        <w:lastRenderedPageBreak/>
        <w:t>вирішення освітніх завдань. Педагогічною радою Центру опрацьовувались питання як практичного сп</w:t>
      </w:r>
      <w:r>
        <w:rPr>
          <w:rFonts w:ascii="Times New Roman" w:hAnsi="Times New Roman" w:cs="Times New Roman"/>
          <w:sz w:val="28"/>
          <w:szCs w:val="28"/>
        </w:rPr>
        <w:t>рямування так і теоретичного, націлені на перспективу розвитку Центру.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контексті науково-методичної роботи реалі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зується розробка стратегічного, перспективного й поточного планування. </w:t>
      </w:r>
    </w:p>
    <w:p w:rsidR="00BA020A" w:rsidRDefault="000F479D">
      <w:pPr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початку навчального року створено методичну раду Центру. Відповідн</w:t>
      </w:r>
      <w:r>
        <w:rPr>
          <w:rFonts w:ascii="Times New Roman" w:hAnsi="Times New Roman" w:cs="Times New Roman"/>
          <w:sz w:val="28"/>
          <w:szCs w:val="28"/>
        </w:rPr>
        <w:t>о до плану роботи методичної ради розглянуто всі питання.</w:t>
      </w:r>
    </w:p>
    <w:p w:rsidR="00BA020A" w:rsidRDefault="000F47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Домінуючою формою науково-методичної роботи Центру є методичні  кафедри педагогічних працівників: гуманітарного, природничо - математичного, естетичного циклів, учителів початкових класів, класних к</w:t>
      </w:r>
      <w:r>
        <w:rPr>
          <w:rFonts w:ascii="Times New Roman" w:hAnsi="Times New Roman" w:cs="Times New Roman"/>
          <w:sz w:val="28"/>
          <w:szCs w:val="28"/>
        </w:rPr>
        <w:t>ерівників, вихователів початкових, старших класів. Роботу  методичних кафедр   сплановано відповідно до конкретних потреб Центру, інтересів, досвіду, здібностей педагогів та врахування особливостей роботи з дітьми із затримкою психічного розвитку, порушенн</w:t>
      </w:r>
      <w:r>
        <w:rPr>
          <w:rFonts w:ascii="Times New Roman" w:hAnsi="Times New Roman" w:cs="Times New Roman"/>
          <w:sz w:val="28"/>
          <w:szCs w:val="28"/>
        </w:rPr>
        <w:t>ям інтелекту  та порушеннями мовлення.</w:t>
      </w:r>
    </w:p>
    <w:p w:rsidR="00BA020A" w:rsidRDefault="000F479D">
      <w:pPr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засідань методичних кафедр опрацьовувались навчальні програми, підручники, посібники, інструкції та методичні листи, заслуховувалися і обговорювалися доповіді з актуальних питань навчання та виховання дітей із</w:t>
      </w:r>
      <w:r>
        <w:rPr>
          <w:rFonts w:ascii="Times New Roman" w:hAnsi="Times New Roman" w:cs="Times New Roman"/>
          <w:sz w:val="28"/>
          <w:szCs w:val="28"/>
        </w:rPr>
        <w:t xml:space="preserve"> затримкою психічного розвитку та порушенням інтелекту, проводився огляд новин методичної літератури, вирішувалися проблемні питання роботи, аналізувалися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виховні заходи. У 2019/2020 навчальному році методична робота передбачала цілісну систему підв</w:t>
      </w:r>
      <w:r>
        <w:rPr>
          <w:rFonts w:ascii="Times New Roman" w:hAnsi="Times New Roman" w:cs="Times New Roman"/>
          <w:sz w:val="28"/>
          <w:szCs w:val="28"/>
        </w:rPr>
        <w:t xml:space="preserve">ищення науково-теоретичного і загальнокультурного рівнів учителів, їх психолого – педагогічної підготовки і була спрямована на вирішення трьох основних питань: інноваційний розвиток, формування наукового потенціалу членів педагогічного колективу, сприяння </w:t>
      </w:r>
      <w:r>
        <w:rPr>
          <w:rFonts w:ascii="Times New Roman" w:hAnsi="Times New Roman" w:cs="Times New Roman"/>
          <w:sz w:val="28"/>
          <w:szCs w:val="28"/>
        </w:rPr>
        <w:t xml:space="preserve">індивідуальній педагогічній діяльності та розвитку творчої особистості вчителя.  </w:t>
      </w:r>
      <w:r>
        <w:rPr>
          <w:rFonts w:ascii="Times New Roman" w:hAnsi="Times New Roman" w:cs="Times New Roman"/>
          <w:bCs/>
          <w:sz w:val="28"/>
          <w:szCs w:val="28"/>
        </w:rPr>
        <w:t>Позитивні тенденції:</w:t>
      </w:r>
    </w:p>
    <w:p w:rsidR="00BA020A" w:rsidRDefault="000F479D">
      <w:pPr>
        <w:pStyle w:val="ad"/>
        <w:numPr>
          <w:ilvl w:val="0"/>
          <w:numId w:val="1"/>
        </w:numPr>
        <w:spacing w:line="276" w:lineRule="auto"/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методична робота </w:t>
      </w:r>
      <w:proofErr w:type="spellStart"/>
      <w:r>
        <w:rPr>
          <w:sz w:val="28"/>
          <w:szCs w:val="28"/>
        </w:rPr>
        <w:t>ефективно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впливає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колективу</w:t>
      </w:r>
      <w:proofErr w:type="spellEnd"/>
      <w:r>
        <w:rPr>
          <w:sz w:val="28"/>
          <w:szCs w:val="28"/>
        </w:rPr>
        <w:t>;</w:t>
      </w:r>
    </w:p>
    <w:p w:rsidR="00BA020A" w:rsidRDefault="000F479D">
      <w:pPr>
        <w:pStyle w:val="ad"/>
        <w:numPr>
          <w:ilvl w:val="0"/>
          <w:numId w:val="1"/>
        </w:numPr>
        <w:spacing w:line="276" w:lineRule="auto"/>
        <w:ind w:left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активізація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впровадження</w:t>
      </w:r>
      <w:proofErr w:type="spellEnd"/>
      <w:r>
        <w:rPr>
          <w:sz w:val="28"/>
          <w:szCs w:val="28"/>
        </w:rPr>
        <w:t xml:space="preserve"> в прак</w:t>
      </w:r>
      <w:r>
        <w:rPr>
          <w:sz w:val="28"/>
          <w:szCs w:val="28"/>
        </w:rPr>
        <w:softHyphen/>
        <w:t xml:space="preserve">тику </w:t>
      </w:r>
      <w:proofErr w:type="spellStart"/>
      <w:r>
        <w:rPr>
          <w:sz w:val="28"/>
          <w:szCs w:val="28"/>
        </w:rPr>
        <w:t>особистісно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орієнтованих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сучасних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технологій</w:t>
      </w:r>
      <w:proofErr w:type="spellEnd"/>
      <w:r>
        <w:rPr>
          <w:sz w:val="28"/>
          <w:szCs w:val="28"/>
        </w:rPr>
        <w:t>;</w:t>
      </w:r>
    </w:p>
    <w:p w:rsidR="00BA020A" w:rsidRDefault="000F479D">
      <w:pPr>
        <w:pStyle w:val="ad"/>
        <w:numPr>
          <w:ilvl w:val="0"/>
          <w:numId w:val="1"/>
        </w:numPr>
        <w:spacing w:line="276" w:lineRule="auto"/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педагогічні працівники впроваджують у педагогічну діяльність освітні </w:t>
      </w:r>
      <w:proofErr w:type="spellStart"/>
      <w:r>
        <w:rPr>
          <w:sz w:val="28"/>
          <w:szCs w:val="28"/>
          <w:lang w:val="uk-UA"/>
        </w:rPr>
        <w:t>проєкти</w:t>
      </w:r>
      <w:proofErr w:type="spellEnd"/>
      <w:r>
        <w:rPr>
          <w:sz w:val="28"/>
          <w:szCs w:val="28"/>
          <w:lang w:val="uk-UA"/>
        </w:rPr>
        <w:t>.</w:t>
      </w:r>
    </w:p>
    <w:p w:rsidR="00BA020A" w:rsidRDefault="000F479D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Проблеми:</w:t>
      </w:r>
    </w:p>
    <w:p w:rsidR="00BA020A" w:rsidRDefault="000F479D">
      <w:pPr>
        <w:pStyle w:val="ad"/>
        <w:numPr>
          <w:ilvl w:val="0"/>
          <w:numId w:val="1"/>
        </w:numPr>
        <w:spacing w:line="276" w:lineRule="auto"/>
        <w:ind w:left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науково-дослідної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;</w:t>
      </w:r>
    </w:p>
    <w:p w:rsidR="00BA020A" w:rsidRDefault="000F479D">
      <w:pPr>
        <w:pStyle w:val="ad"/>
        <w:numPr>
          <w:ilvl w:val="0"/>
          <w:numId w:val="1"/>
        </w:numPr>
        <w:spacing w:line="276" w:lineRule="auto"/>
        <w:ind w:left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розробка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науково-методичних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ди</w:t>
      </w:r>
      <w:r>
        <w:rPr>
          <w:sz w:val="28"/>
          <w:szCs w:val="28"/>
        </w:rPr>
        <w:softHyphen/>
        <w:t>дактичних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матер</w:t>
      </w:r>
      <w:proofErr w:type="gramEnd"/>
      <w:r>
        <w:rPr>
          <w:sz w:val="28"/>
          <w:szCs w:val="28"/>
        </w:rPr>
        <w:t>іалів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публікація</w:t>
      </w:r>
      <w:proofErr w:type="spellEnd"/>
      <w:r>
        <w:rPr>
          <w:sz w:val="28"/>
          <w:szCs w:val="28"/>
        </w:rPr>
        <w:t xml:space="preserve"> передового </w:t>
      </w:r>
      <w:proofErr w:type="spellStart"/>
      <w:r>
        <w:rPr>
          <w:sz w:val="28"/>
          <w:szCs w:val="28"/>
        </w:rPr>
        <w:t>досвіду</w:t>
      </w:r>
      <w:proofErr w:type="spellEnd"/>
      <w:r>
        <w:rPr>
          <w:sz w:val="28"/>
          <w:szCs w:val="28"/>
        </w:rPr>
        <w:t>.</w:t>
      </w:r>
    </w:p>
    <w:p w:rsidR="00BA020A" w:rsidRDefault="000F479D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Шляхи   вирішення проблем:</w:t>
      </w:r>
    </w:p>
    <w:p w:rsidR="00BA020A" w:rsidRDefault="000F479D">
      <w:pPr>
        <w:pStyle w:val="ad"/>
        <w:numPr>
          <w:ilvl w:val="0"/>
          <w:numId w:val="1"/>
        </w:numPr>
        <w:spacing w:line="276" w:lineRule="auto"/>
        <w:ind w:left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залучення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учителів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наукових</w:t>
      </w:r>
      <w:proofErr w:type="spellEnd"/>
      <w:r>
        <w:rPr>
          <w:sz w:val="28"/>
          <w:szCs w:val="28"/>
        </w:rPr>
        <w:t xml:space="preserve"> і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іальних</w:t>
      </w:r>
      <w:proofErr w:type="spellEnd"/>
      <w:r>
        <w:rPr>
          <w:sz w:val="28"/>
          <w:szCs w:val="28"/>
        </w:rPr>
        <w:t xml:space="preserve"> про</w:t>
      </w:r>
      <w:r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ктах</w:t>
      </w:r>
      <w:proofErr w:type="spellEnd"/>
      <w:r>
        <w:rPr>
          <w:sz w:val="28"/>
          <w:szCs w:val="28"/>
        </w:rPr>
        <w:t>;</w:t>
      </w:r>
    </w:p>
    <w:p w:rsidR="00BA020A" w:rsidRDefault="000F479D">
      <w:pPr>
        <w:pStyle w:val="ad"/>
        <w:numPr>
          <w:ilvl w:val="0"/>
          <w:numId w:val="1"/>
        </w:numPr>
        <w:spacing w:line="276" w:lineRule="auto"/>
        <w:ind w:left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посилення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уваги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методологіч</w:t>
      </w:r>
      <w:r>
        <w:rPr>
          <w:sz w:val="28"/>
          <w:szCs w:val="28"/>
        </w:rPr>
        <w:softHyphen/>
        <w:t>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й нового </w:t>
      </w:r>
      <w:proofErr w:type="spellStart"/>
      <w:r>
        <w:rPr>
          <w:sz w:val="28"/>
          <w:szCs w:val="28"/>
        </w:rPr>
        <w:t>професійного</w:t>
      </w:r>
      <w:proofErr w:type="spellEnd"/>
      <w:r>
        <w:rPr>
          <w:sz w:val="28"/>
          <w:szCs w:val="28"/>
        </w:rPr>
        <w:t>;</w:t>
      </w:r>
    </w:p>
    <w:p w:rsidR="00BA020A" w:rsidRDefault="000F479D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мислення вчи</w:t>
      </w:r>
      <w:r>
        <w:rPr>
          <w:rFonts w:ascii="Times New Roman" w:hAnsi="Times New Roman" w:cs="Times New Roman"/>
          <w:sz w:val="28"/>
          <w:szCs w:val="28"/>
        </w:rPr>
        <w:softHyphen/>
        <w:t>телів через інтерактивне дистанційне професійне самон</w:t>
      </w:r>
      <w:r>
        <w:rPr>
          <w:rFonts w:ascii="Times New Roman" w:hAnsi="Times New Roman" w:cs="Times New Roman"/>
          <w:sz w:val="28"/>
          <w:szCs w:val="28"/>
        </w:rPr>
        <w:t>авчання.</w:t>
      </w:r>
    </w:p>
    <w:p w:rsidR="00BA020A" w:rsidRDefault="000F47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Головним завданням роботи методичних кафедр Центру залишається підвищення рівня професійної майстерності педагогів. Оскільки в системі роботи методичної  кафедри одним з провідних напрямів її діяльності є підвищення педагогічної майстерності вчите</w:t>
      </w:r>
      <w:r>
        <w:rPr>
          <w:rFonts w:ascii="Times New Roman" w:hAnsi="Times New Roman" w:cs="Times New Roman"/>
          <w:sz w:val="28"/>
          <w:szCs w:val="28"/>
        </w:rPr>
        <w:t xml:space="preserve">ля без відриву від основного місця роботи та вдосконалення досвіду роботи.  </w:t>
      </w:r>
    </w:p>
    <w:p w:rsidR="00BA020A" w:rsidRDefault="000F47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Кожен педагогічний працівник підвищує свій професійний рівень шляхом участі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роботі, шляхом самоосвіти, завдяки курсам підвищення кваліфікації. Відповідно до графіку ус</w:t>
      </w:r>
      <w:r>
        <w:rPr>
          <w:rFonts w:ascii="Times New Roman" w:hAnsi="Times New Roman" w:cs="Times New Roman"/>
          <w:sz w:val="28"/>
          <w:szCs w:val="28"/>
        </w:rPr>
        <w:t xml:space="preserve">і педагоги, які атестувалися, пройшли курси підвищення кваліфікації.  </w:t>
      </w:r>
    </w:p>
    <w:p w:rsidR="00BA020A" w:rsidRDefault="000F479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Протягом навчального року учні та вчителі взяли активну участь у освітніх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проєктах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Всеосвіта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та «На урок»,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Прометеус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Едера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»:</w:t>
      </w:r>
    </w:p>
    <w:p w:rsidR="00BA020A" w:rsidRDefault="000F479D">
      <w:pPr>
        <w:pStyle w:val="ad"/>
        <w:numPr>
          <w:ilvl w:val="0"/>
          <w:numId w:val="2"/>
        </w:numPr>
        <w:spacing w:line="276" w:lineRule="auto"/>
        <w:ind w:left="142"/>
        <w:jc w:val="both"/>
        <w:rPr>
          <w:sz w:val="28"/>
          <w:szCs w:val="28"/>
          <w:highlight w:val="white"/>
        </w:rPr>
      </w:pPr>
      <w:proofErr w:type="spellStart"/>
      <w:r>
        <w:rPr>
          <w:sz w:val="28"/>
          <w:szCs w:val="28"/>
          <w:shd w:val="clear" w:color="auto" w:fill="FFFFFF"/>
        </w:rPr>
        <w:t>олімпіада</w:t>
      </w:r>
      <w:proofErr w:type="spellEnd"/>
      <w:r>
        <w:rPr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sz w:val="28"/>
          <w:szCs w:val="28"/>
          <w:shd w:val="clear" w:color="auto" w:fill="FFFFFF"/>
        </w:rPr>
        <w:t>Всеосві</w:t>
      </w:r>
      <w:proofErr w:type="gramStart"/>
      <w:r>
        <w:rPr>
          <w:sz w:val="28"/>
          <w:szCs w:val="28"/>
          <w:shd w:val="clear" w:color="auto" w:fill="FFFFFF"/>
        </w:rPr>
        <w:t>та-Ос</w:t>
      </w:r>
      <w:proofErr w:type="gramEnd"/>
      <w:r>
        <w:rPr>
          <w:sz w:val="28"/>
          <w:szCs w:val="28"/>
          <w:shd w:val="clear" w:color="auto" w:fill="FFFFFF"/>
        </w:rPr>
        <w:t>інь</w:t>
      </w:r>
      <w:proofErr w:type="spellEnd"/>
      <w:r>
        <w:rPr>
          <w:sz w:val="28"/>
          <w:szCs w:val="28"/>
          <w:shd w:val="clear" w:color="auto" w:fill="FFFFFF"/>
        </w:rPr>
        <w:t>»;</w:t>
      </w:r>
    </w:p>
    <w:p w:rsidR="00BA020A" w:rsidRDefault="000F479D">
      <w:pPr>
        <w:pStyle w:val="ad"/>
        <w:numPr>
          <w:ilvl w:val="0"/>
          <w:numId w:val="2"/>
        </w:numPr>
        <w:spacing w:line="276" w:lineRule="auto"/>
        <w:ind w:left="142"/>
        <w:jc w:val="both"/>
        <w:rPr>
          <w:sz w:val="28"/>
          <w:szCs w:val="28"/>
          <w:highlight w:val="white"/>
        </w:rPr>
      </w:pPr>
      <w:proofErr w:type="spellStart"/>
      <w:r>
        <w:rPr>
          <w:sz w:val="28"/>
          <w:szCs w:val="28"/>
          <w:shd w:val="clear" w:color="auto" w:fill="FFFFFF"/>
        </w:rPr>
        <w:t>олімпіада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</w:t>
      </w:r>
      <w:proofErr w:type="spellStart"/>
      <w:r>
        <w:rPr>
          <w:sz w:val="28"/>
          <w:szCs w:val="28"/>
          <w:shd w:val="clear" w:color="auto" w:fill="FFFFFF"/>
        </w:rPr>
        <w:t>Всеосвіта</w:t>
      </w:r>
      <w:proofErr w:type="spellEnd"/>
      <w:r>
        <w:rPr>
          <w:sz w:val="28"/>
          <w:szCs w:val="28"/>
          <w:shd w:val="clear" w:color="auto" w:fill="FFFFFF"/>
        </w:rPr>
        <w:t>-Зима»;</w:t>
      </w:r>
    </w:p>
    <w:p w:rsidR="00BA020A" w:rsidRDefault="000F479D">
      <w:pPr>
        <w:pStyle w:val="ad"/>
        <w:numPr>
          <w:ilvl w:val="0"/>
          <w:numId w:val="2"/>
        </w:numPr>
        <w:spacing w:line="276" w:lineRule="auto"/>
        <w:ind w:left="142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конкурс «</w:t>
      </w:r>
      <w:proofErr w:type="spellStart"/>
      <w:r>
        <w:rPr>
          <w:sz w:val="28"/>
          <w:szCs w:val="28"/>
          <w:shd w:val="clear" w:color="auto" w:fill="FFFFFF"/>
        </w:rPr>
        <w:t>Безпечний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інтернет</w:t>
      </w:r>
      <w:proofErr w:type="spellEnd"/>
      <w:r>
        <w:rPr>
          <w:sz w:val="28"/>
          <w:szCs w:val="28"/>
          <w:shd w:val="clear" w:color="auto" w:fill="FFFFFF"/>
        </w:rPr>
        <w:t>»;</w:t>
      </w:r>
    </w:p>
    <w:p w:rsidR="00BA020A" w:rsidRDefault="000F479D">
      <w:pPr>
        <w:pStyle w:val="ad"/>
        <w:numPr>
          <w:ilvl w:val="0"/>
          <w:numId w:val="2"/>
        </w:numPr>
        <w:spacing w:line="276" w:lineRule="auto"/>
        <w:ind w:left="142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конкурс «Слово до слова»</w:t>
      </w:r>
    </w:p>
    <w:p w:rsidR="00BA020A" w:rsidRDefault="000F479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Всі учасники  показали належні результати і отримали дипломи різного ступеня, а педагоги - подяки та свідоцтва. </w:t>
      </w:r>
      <w:r>
        <w:rPr>
          <w:rFonts w:ascii="Times New Roman" w:hAnsi="Times New Roman" w:cs="Times New Roman"/>
          <w:sz w:val="28"/>
          <w:szCs w:val="28"/>
        </w:rPr>
        <w:t xml:space="preserve">Учителі Центру взяли участь і в інших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Найактивніші учасники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роєктної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діяльності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Л.П., Сипало Н.О.,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Будянська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Н.І., Кріль М.В., Сидорова А.В., Лимар І.Ф., Васюта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Мізюріна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О.Л.  </w:t>
      </w:r>
    </w:p>
    <w:p w:rsidR="00BA020A" w:rsidRDefault="000F479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2019/2020 навчальному році три педагогічні працівники Центру взяли участь в обласному фестивалі «добрих практик» освітян Харкі</w:t>
      </w:r>
      <w:r>
        <w:rPr>
          <w:rFonts w:ascii="Times New Roman" w:hAnsi="Times New Roman" w:cs="Times New Roman"/>
          <w:sz w:val="28"/>
          <w:szCs w:val="28"/>
        </w:rPr>
        <w:t>вщини «Майстри педагогічної справи презентують» ( Кріль М.В.,  Орел В.П., Сидорова А.В.).</w:t>
      </w:r>
    </w:p>
    <w:p w:rsidR="00BA020A" w:rsidRDefault="000F479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Виховний процес був невід’ємною складовою всього освітнього процесу і орієнтувався на загальнолюдські цінності, зокрема морально-етичні (гідність, чесність, справедли</w:t>
      </w:r>
      <w:r>
        <w:rPr>
          <w:rFonts w:ascii="Times New Roman" w:hAnsi="Times New Roman" w:cs="Times New Roman"/>
          <w:sz w:val="28"/>
          <w:szCs w:val="28"/>
        </w:rPr>
        <w:t>вість турбота, повага до життя, повага до себе та інших людей), розвиток навичок громадянської свідомості та відповідальності, навичок критичного мислення, навичок співпраці та командної роботи, формування здорового і екологічного способу життя, статеве ви</w:t>
      </w:r>
      <w:r>
        <w:rPr>
          <w:rFonts w:ascii="Times New Roman" w:hAnsi="Times New Roman" w:cs="Times New Roman"/>
          <w:sz w:val="28"/>
          <w:szCs w:val="28"/>
        </w:rPr>
        <w:t>ховання та виховання гендерної рівності, соціально-політичні (повага до рідної мови і культури, патріотизм, шанобливе ставлення до довкілля, повага до закону, солідарність, відповідальність) У 2019/2020 навчальному році проведено моніторинг рівня вихованос</w:t>
      </w:r>
      <w:r>
        <w:rPr>
          <w:rFonts w:ascii="Times New Roman" w:hAnsi="Times New Roman" w:cs="Times New Roman"/>
          <w:sz w:val="28"/>
          <w:szCs w:val="28"/>
        </w:rPr>
        <w:t>ті учнів 7-9 класів. Метою якого було:</w:t>
      </w:r>
    </w:p>
    <w:p w:rsidR="00BA020A" w:rsidRDefault="000F479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виявити рівень вихованості здобувачів освіти в Центрі для можливості своєчасної корекції діяльності, спрямованої на виховання особистості;</w:t>
      </w:r>
    </w:p>
    <w:p w:rsidR="00BA020A" w:rsidRDefault="000F479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вивчення результативності виховного впливу на учнів, з’ясування ефективності р</w:t>
      </w:r>
      <w:r>
        <w:rPr>
          <w:rFonts w:ascii="Times New Roman" w:hAnsi="Times New Roman" w:cs="Times New Roman"/>
          <w:sz w:val="28"/>
          <w:szCs w:val="28"/>
        </w:rPr>
        <w:t>еалізації педагогічних завдань.</w:t>
      </w:r>
    </w:p>
    <w:p w:rsidR="00BA020A" w:rsidRDefault="000F479D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Діагностування рівня вихованості здійснювалось за такими критеріями: </w:t>
      </w:r>
      <w:r>
        <w:rPr>
          <w:rFonts w:ascii="Times New Roman" w:hAnsi="Times New Roman" w:cs="Times New Roman"/>
          <w:bCs/>
          <w:sz w:val="28"/>
          <w:szCs w:val="28"/>
        </w:rPr>
        <w:t>обов’язковість і відповідальність, бережливість,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дисципліна,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ставлення до навчання,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ставлення до праці, доброта та чуйність,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чесність та справедливість,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простота та скромність, культура спілкування, колективізм, почуття товариськості.</w:t>
      </w:r>
    </w:p>
    <w:p w:rsidR="00BA020A" w:rsidRDefault="000F4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5940425" cy="1905000"/>
            <wp:effectExtent l="0" t="0" r="0" b="0"/>
            <wp:docPr id="7" name="Діагра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15875</wp:posOffset>
                </wp:positionV>
                <wp:extent cx="8230235" cy="1134110"/>
                <wp:effectExtent l="0" t="0" r="0" b="0"/>
                <wp:wrapNone/>
                <wp:docPr id="5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113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A020A" w:rsidRDefault="00BA020A">
                            <w:pPr>
                              <w:pStyle w:val="ae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Изображение1" o:spid="_x0000_s1026" style="position:absolute;left:0;text-align:left;margin-left:.05pt;margin-top:1.25pt;width:648.05pt;height:89.3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" filled="f" stroked="f">
                <v:textbox inset="0,,0,0">
                  <w:txbxContent>
                    <w:p w:rsidR="00BA020A" w:rsidRDefault="00BA020A">
                      <w:pPr>
                        <w:pStyle w:val="ae"/>
                        <w:rPr>
                          <w:color w:val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A020A" w:rsidRDefault="000F4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5940425" cy="1838325"/>
            <wp:effectExtent l="0" t="0" r="0" b="0"/>
            <wp:docPr id="8" name="Ді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A020A" w:rsidRDefault="000F479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високому рівні у дітей розвинена простота та скромність, ставлення до навчання та бережливість. Над покращенням успіхів по решті критеріїв, за якими проходило тест</w:t>
      </w:r>
      <w:r>
        <w:rPr>
          <w:rFonts w:ascii="Times New Roman" w:hAnsi="Times New Roman" w:cs="Times New Roman"/>
          <w:sz w:val="28"/>
          <w:szCs w:val="28"/>
        </w:rPr>
        <w:t>ування, вихователям та класним керівникам необхідно працювати.</w:t>
      </w:r>
    </w:p>
    <w:p w:rsidR="00BA020A" w:rsidRDefault="000F479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Вихователі використовують інформаційно-комунікаційні технології в освітньому процесі, що дало змогу підвищити продуктивність роботи, раціональними шляхами досягати необхідного результату. Зріс </w:t>
      </w:r>
      <w:r>
        <w:rPr>
          <w:rFonts w:ascii="Times New Roman" w:hAnsi="Times New Roman" w:cs="Times New Roman"/>
          <w:sz w:val="28"/>
          <w:szCs w:val="28"/>
        </w:rPr>
        <w:t>рівень інформаційно-комунікаційної компетентності вихователів через такі форми науково-методичної роботи як дистанційне навчання педагогічних працівників, онлайн курси, індивідуальні консультації. Всі члени методичної кафедри вихователів старших класів про</w:t>
      </w:r>
      <w:r>
        <w:rPr>
          <w:rFonts w:ascii="Times New Roman" w:hAnsi="Times New Roman" w:cs="Times New Roman"/>
          <w:sz w:val="28"/>
          <w:szCs w:val="28"/>
        </w:rPr>
        <w:t xml:space="preserve">йшли навчання на платформі масових відкритих онлайн-курсів </w:t>
      </w:r>
      <w:r>
        <w:rPr>
          <w:rFonts w:ascii="Times New Roman" w:hAnsi="Times New Roman" w:cs="Times New Roman"/>
          <w:sz w:val="28"/>
          <w:szCs w:val="28"/>
          <w:lang w:val="en-US"/>
        </w:rPr>
        <w:t>Prometheus</w:t>
      </w:r>
      <w:r>
        <w:rPr>
          <w:rFonts w:ascii="Times New Roman" w:hAnsi="Times New Roman" w:cs="Times New Roman"/>
          <w:sz w:val="28"/>
          <w:szCs w:val="28"/>
        </w:rPr>
        <w:t xml:space="preserve"> та отримали сертифікати про закінчення курсу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Медіаграмотність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освітян».</w:t>
      </w:r>
    </w:p>
    <w:p w:rsidR="00BA020A" w:rsidRDefault="000F479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Значна увага приділялась інноваційній освітній діяльності. Члени методичної кафедри пройшли навчання та отрим</w:t>
      </w:r>
      <w:r>
        <w:rPr>
          <w:rFonts w:ascii="Times New Roman" w:hAnsi="Times New Roman" w:cs="Times New Roman"/>
          <w:sz w:val="28"/>
          <w:szCs w:val="28"/>
        </w:rPr>
        <w:t>али сертифікати про закінчення курсу «Впровадження інновацій у школах».</w:t>
      </w:r>
    </w:p>
    <w:p w:rsidR="00BA020A" w:rsidRDefault="000F479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 українська школа діє на засадах педагогіки партнерства. Розгляд цього питання було приділено увагу на засіданні методичної кафедри. Згідно моніторингу результативності взаємодії с</w:t>
      </w:r>
      <w:r>
        <w:rPr>
          <w:rFonts w:ascii="Times New Roman" w:hAnsi="Times New Roman" w:cs="Times New Roman"/>
          <w:sz w:val="28"/>
          <w:szCs w:val="28"/>
        </w:rPr>
        <w:t>ім’ї та школи. Анкета «Школа, у якій навчається моя дитина» на питання: «Ваша дитина навчається у цьому навчальному закладі, тому що?»:</w:t>
      </w:r>
    </w:p>
    <w:p w:rsidR="00BA020A" w:rsidRDefault="000F4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2324100" cy="1381125"/>
            <wp:effectExtent l="0" t="0" r="0" b="0"/>
            <wp:docPr id="9" name="Діагра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2447925" cy="1362075"/>
            <wp:effectExtent l="0" t="0" r="0" b="0"/>
            <wp:docPr id="10" name="Діагра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A020A" w:rsidRDefault="000F4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45% батьків віддали перевагу « У школі дитина почуває себе дуже добре»</w:t>
      </w:r>
    </w:p>
    <w:p w:rsidR="00BA020A" w:rsidRDefault="000F4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25% батьків віддали перевагу «Цілко</w:t>
      </w:r>
      <w:r>
        <w:rPr>
          <w:rFonts w:ascii="Times New Roman" w:hAnsi="Times New Roman" w:cs="Times New Roman"/>
          <w:sz w:val="28"/>
          <w:szCs w:val="28"/>
        </w:rPr>
        <w:t>м влаштовує організація освітнього процесу в школі»</w:t>
      </w:r>
    </w:p>
    <w:p w:rsidR="00BA020A" w:rsidRDefault="000F4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20% батьків віддали перевагу «Тут дають міцні знання з потрібних предметів»</w:t>
      </w:r>
    </w:p>
    <w:p w:rsidR="00BA020A" w:rsidRDefault="000F4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10% - « Рекомендували друзі і знайомі.</w:t>
      </w:r>
    </w:p>
    <w:p w:rsidR="00BA020A" w:rsidRDefault="000F4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90% батьків  на питання «З яким настроєм  ваш син (донька) йде до навчального закладу?» </w:t>
      </w:r>
      <w:r>
        <w:rPr>
          <w:rFonts w:ascii="Times New Roman" w:hAnsi="Times New Roman" w:cs="Times New Roman"/>
          <w:sz w:val="28"/>
          <w:szCs w:val="28"/>
        </w:rPr>
        <w:t>відзначили «з радістю»</w:t>
      </w:r>
    </w:p>
    <w:p w:rsidR="00BA020A" w:rsidRDefault="000F479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Тому важливою є комунікація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комунікація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між педагогічними працівниками і батьками. Особлива увага була приділена співпраці з батьками здобувачів освіти. Членами методичної кафедри  розроблені рекомендації для педагогічних працівників</w:t>
      </w:r>
      <w:r>
        <w:rPr>
          <w:rFonts w:ascii="Times New Roman" w:hAnsi="Times New Roman" w:cs="Times New Roman"/>
          <w:sz w:val="28"/>
          <w:szCs w:val="28"/>
        </w:rPr>
        <w:t xml:space="preserve"> щодо відвідування сім’ї дитини. Рівень комунікації  вихователів з батьками було оцінено шляхом проведення анкетування батьків.  згідно якого «Чи задоволені ви відносинами з  вихователями вашої дитини?»</w:t>
      </w:r>
    </w:p>
    <w:p w:rsidR="00BA020A" w:rsidRDefault="000F479D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2724150" cy="1562100"/>
            <wp:effectExtent l="0" t="0" r="0" b="0"/>
            <wp:docPr id="11" name="Діагра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A020A" w:rsidRDefault="000F4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100 % батьків задоволені відносинами  з вихователям</w:t>
      </w:r>
      <w:r>
        <w:rPr>
          <w:rFonts w:ascii="Times New Roman" w:hAnsi="Times New Roman" w:cs="Times New Roman"/>
          <w:sz w:val="28"/>
          <w:szCs w:val="28"/>
        </w:rPr>
        <w:t>и в групі.</w:t>
      </w:r>
    </w:p>
    <w:p w:rsidR="00BA020A" w:rsidRDefault="000F479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Індикатором професійного зростання є портфоліо. 70%  осіб методичної кафедри мають власні портфоліо. Проте лише 20% осіб методичної кафедри створюють та використовують власні освітні ресурси, мають публікації професійної тематики та оприлюднені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методичні розробки в друкованих та електронних журналах.</w:t>
      </w:r>
    </w:p>
    <w:p w:rsidR="00BA020A" w:rsidRDefault="000F479D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 календарно-тематичному плануванні, як і у всій педагогічній діяльності членів методичної кафедри вихователів початкових класів, простежується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компетентісний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підхід. Педагогічна діяльність виховател</w:t>
      </w:r>
      <w:r>
        <w:rPr>
          <w:rFonts w:ascii="Times New Roman" w:hAnsi="Times New Roman" w:cs="Times New Roman"/>
          <w:sz w:val="28"/>
          <w:szCs w:val="28"/>
        </w:rPr>
        <w:t>ів початкових класів включена в системну виховну модель формування ключових компетентностей вихованців молодшого шкільного віку, де процес формування кожної з 10 ключових компетентностей є однаково важливим, а всі процеси взаємопов’язаними.</w:t>
      </w:r>
    </w:p>
    <w:p w:rsidR="00BA020A" w:rsidRDefault="000F4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Вихователі поча</w:t>
      </w:r>
      <w:r>
        <w:rPr>
          <w:rFonts w:ascii="Times New Roman" w:hAnsi="Times New Roman" w:cs="Times New Roman"/>
          <w:sz w:val="28"/>
          <w:szCs w:val="28"/>
        </w:rPr>
        <w:t>ткових класів в своїй педагогічній діяльності реалізовують впевненість в тому, що ключові компетентності і наскрізні вміння  створюють «канву», яка є основою для реалізації життєвих планів дітей з ООП.</w:t>
      </w:r>
    </w:p>
    <w:p w:rsidR="00BA020A" w:rsidRDefault="000F479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Формуванню ключових компетентностей у дітей з ООП спри</w:t>
      </w:r>
      <w:r>
        <w:rPr>
          <w:rFonts w:ascii="Times New Roman" w:hAnsi="Times New Roman" w:cs="Times New Roman"/>
          <w:sz w:val="28"/>
          <w:szCs w:val="28"/>
        </w:rPr>
        <w:t xml:space="preserve">яє застосування різних організаційних форм занять: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квестів</w:t>
      </w:r>
      <w:proofErr w:type="spellEnd"/>
      <w:r>
        <w:rPr>
          <w:rFonts w:ascii="Times New Roman" w:hAnsi="Times New Roman" w:cs="Times New Roman"/>
          <w:sz w:val="28"/>
          <w:szCs w:val="28"/>
        </w:rPr>
        <w:t>, кейс-технологій, спортивних змагань, екскурсій, тренінгів, майстер-класів: (як приклад, майстер-клас на тему: «У пам’яті навічно»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Н.П.), відео урок «Народні символи України» (Черняк І.М.</w:t>
      </w:r>
      <w:r>
        <w:rPr>
          <w:rFonts w:ascii="Times New Roman" w:hAnsi="Times New Roman" w:cs="Times New Roman"/>
          <w:sz w:val="28"/>
          <w:szCs w:val="28"/>
        </w:rPr>
        <w:t xml:space="preserve">) та інші). </w:t>
      </w:r>
    </w:p>
    <w:p w:rsidR="00BA020A" w:rsidRDefault="000F479D">
      <w:pPr>
        <w:spacing w:after="200" w:line="276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Інформація про проведення виховних занять по впровадженню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компетентісного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підходу була опублікована в районній газеті «Колос» (стаття під назвою «Заходьте, в нас цікаво»). Члени методичного об’єднання вихователів початкових класів беруть участ</w:t>
      </w:r>
      <w:r>
        <w:rPr>
          <w:rFonts w:ascii="Times New Roman" w:hAnsi="Times New Roman" w:cs="Times New Roman"/>
          <w:sz w:val="28"/>
          <w:szCs w:val="28"/>
        </w:rPr>
        <w:t xml:space="preserve">ь в обговоренні проблем впровадження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компетентісного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підходу на засіданнях педагогічної ради Центру, працюють над партнерським включенням: дитина з ООП – її вихователь 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діяльність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впроваждення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ідей авторського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«Школа любові, злагоди і д</w:t>
      </w:r>
      <w:r>
        <w:rPr>
          <w:rFonts w:ascii="Times New Roman" w:hAnsi="Times New Roman" w:cs="Times New Roman"/>
          <w:sz w:val="28"/>
          <w:szCs w:val="28"/>
        </w:rPr>
        <w:t>опомоги в житті». Досягнення і проблеми, що виникають в процесі його реалізації, виносяться на обговорення на засіданнях методичної кафедри вихователів початкових класів.</w:t>
      </w:r>
    </w:p>
    <w:p w:rsidR="00BA020A" w:rsidRDefault="000F479D">
      <w:pPr>
        <w:spacing w:after="200" w:line="276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Педагогічні працівники Центру під час провадження педагогічної діяльності дотримуютьс</w:t>
      </w:r>
      <w:r>
        <w:rPr>
          <w:rFonts w:ascii="Times New Roman" w:hAnsi="Times New Roman" w:cs="Times New Roman"/>
          <w:sz w:val="28"/>
          <w:szCs w:val="28"/>
        </w:rPr>
        <w:t>я академічної доброчесності, інформують учнів та батьків про необхідність дотримання норм академічної доброчесності. У Центрі розроблено, затверджено та оприлюднено Положення про академічну доброчесність.</w:t>
      </w:r>
    </w:p>
    <w:p w:rsidR="00BA020A" w:rsidRDefault="00BA020A">
      <w:pPr>
        <w:spacing w:after="200" w:line="276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BA020A" w:rsidRDefault="000F479D">
      <w:pPr>
        <w:spacing w:after="200" w:line="276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УПРАВЛІНСЬКІ ПРОЦЕСИ У ЦЕНТРІ</w:t>
      </w:r>
    </w:p>
    <w:p w:rsidR="00BA020A" w:rsidRDefault="000F479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У Центрі затвер</w:t>
      </w:r>
      <w:r>
        <w:rPr>
          <w:rFonts w:ascii="Times New Roman" w:hAnsi="Times New Roman" w:cs="Times New Roman"/>
          <w:sz w:val="28"/>
          <w:szCs w:val="28"/>
        </w:rPr>
        <w:t xml:space="preserve">джено Стратегію  розвитку КЗ «Сахновщинський навчально-реабілітаційний центр» Харківської обласної ради, спрямовану на підвищення якості його діяльності. </w:t>
      </w:r>
    </w:p>
    <w:p w:rsidR="00BA020A" w:rsidRDefault="000F479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Стратегія розвитку Центру охоплює усі напрямки освітнього, господарчого та фінансового процесів. </w:t>
      </w:r>
    </w:p>
    <w:p w:rsidR="00BA020A" w:rsidRDefault="000F479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>
        <w:rPr>
          <w:rFonts w:ascii="Times New Roman" w:hAnsi="Times New Roman" w:cs="Times New Roman"/>
          <w:sz w:val="28"/>
          <w:szCs w:val="28"/>
        </w:rPr>
        <w:t xml:space="preserve">ічне планування Центру враховує критерії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якості освітньої діяльності відповідно до методичних рекомендацій. </w:t>
      </w:r>
    </w:p>
    <w:p w:rsidR="00BA020A" w:rsidRDefault="000F479D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Центрі діє ефективна система керівництва закладу, проведено розподіл обов’язків між адміністрацією та спеціалістами Центру. Управл</w:t>
      </w:r>
      <w:r>
        <w:rPr>
          <w:rFonts w:ascii="Times New Roman" w:hAnsi="Times New Roman" w:cs="Times New Roman"/>
          <w:sz w:val="28"/>
          <w:szCs w:val="28"/>
        </w:rPr>
        <w:t xml:space="preserve">інські рішення приймаються на засадах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людиноцентризму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конструктивної співпраці. Формуються відносини довіри, прозорості, дотримання етичних норм. Крім того довіра між учасниками освітнього процесу створює сприятливі умови для конструктивного вирішення мож</w:t>
      </w:r>
      <w:r>
        <w:rPr>
          <w:rFonts w:ascii="Times New Roman" w:hAnsi="Times New Roman" w:cs="Times New Roman"/>
          <w:sz w:val="28"/>
          <w:szCs w:val="28"/>
        </w:rPr>
        <w:t>ливих конфліктів.</w:t>
      </w:r>
    </w:p>
    <w:p w:rsidR="00BA020A" w:rsidRDefault="000F479D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Адміністрація Центру постійно інформує учасників освітнього процесу про прийняті управлінські рішення, досягнення, зміни в різних сферах діяльності.</w:t>
      </w:r>
    </w:p>
    <w:p w:rsidR="00BA020A" w:rsidRDefault="000F479D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своїй діяльності адміністрація Центру широко використовує інформаційно-комунікаційні </w:t>
      </w:r>
      <w:r>
        <w:rPr>
          <w:rFonts w:ascii="Times New Roman" w:hAnsi="Times New Roman" w:cs="Times New Roman"/>
          <w:sz w:val="28"/>
          <w:szCs w:val="28"/>
        </w:rPr>
        <w:t>технології, налагоджено систему електронного документообігу.</w:t>
      </w:r>
    </w:p>
    <w:p w:rsidR="00BA020A" w:rsidRDefault="000F479D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діяльність Центру в повному обсязі з урахуванням вимог ст.30 Закону України «Про освіту» оприлюднюється на шпальтах сайту закладу.</w:t>
      </w:r>
    </w:p>
    <w:p w:rsidR="00BA020A" w:rsidRDefault="000F479D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метою збереження та поповнення матеріально-тех</w:t>
      </w:r>
      <w:r>
        <w:rPr>
          <w:sz w:val="28"/>
          <w:szCs w:val="28"/>
          <w:lang w:val="uk-UA"/>
        </w:rPr>
        <w:t xml:space="preserve">нічної бази Центру зроблено наступне: </w:t>
      </w:r>
    </w:p>
    <w:p w:rsidR="00BA020A" w:rsidRDefault="000F479D">
      <w:pPr>
        <w:pStyle w:val="Standard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поточний ремонт туалетної кімнати навчального корпусу на суму 247,000 грн.;</w:t>
      </w:r>
    </w:p>
    <w:p w:rsidR="00BA020A" w:rsidRDefault="000F479D">
      <w:pPr>
        <w:pStyle w:val="Standard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капітальний ремонт приміщень їдальні на суму 341,823 грн.;</w:t>
      </w:r>
    </w:p>
    <w:p w:rsidR="00BA020A" w:rsidRDefault="000F479D">
      <w:pPr>
        <w:pStyle w:val="Standard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капітальний ремонт пожежної сигналізації на суму 49,219 грн.;</w:t>
      </w:r>
    </w:p>
    <w:p w:rsidR="00BA020A" w:rsidRDefault="000F479D">
      <w:pPr>
        <w:pStyle w:val="Standard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косметичний </w:t>
      </w:r>
      <w:r>
        <w:rPr>
          <w:sz w:val="28"/>
          <w:szCs w:val="28"/>
          <w:lang w:val="uk-UA"/>
        </w:rPr>
        <w:t>ремонт приміщень закладу навчального,  спального корпусів та їдальні;</w:t>
      </w:r>
    </w:p>
    <w:p w:rsidR="00BA020A" w:rsidRDefault="000F479D">
      <w:pPr>
        <w:pStyle w:val="Standard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придбання для учнів початкових класів (комплекту меблів,  ноутбук, принтер, дидактичних матеріалів) на суму 52176,00 грн.;</w:t>
      </w:r>
    </w:p>
    <w:p w:rsidR="00BA020A" w:rsidRDefault="000F479D">
      <w:pPr>
        <w:pStyle w:val="Standard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придбання основних засобів: - ванна мийна – 15000,00 грн., </w:t>
      </w:r>
      <w:proofErr w:type="spellStart"/>
      <w:r>
        <w:rPr>
          <w:sz w:val="28"/>
          <w:szCs w:val="28"/>
          <w:lang w:val="uk-UA"/>
        </w:rPr>
        <w:t>марміт</w:t>
      </w:r>
      <w:proofErr w:type="spellEnd"/>
      <w:r>
        <w:rPr>
          <w:sz w:val="28"/>
          <w:szCs w:val="28"/>
          <w:lang w:val="uk-UA"/>
        </w:rPr>
        <w:t xml:space="preserve"> професійний електричний – 29490,00, компресор для холодильної камери – 25000,00 грн., насос глибинний – 19200,00 грн.,  БФП Лазерний – 15650,00 грн.; (кошти субвенції);</w:t>
      </w:r>
    </w:p>
    <w:p w:rsidR="00BA020A" w:rsidRDefault="000F479D">
      <w:pPr>
        <w:pStyle w:val="Standard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придбання господарчих товарів – 449679,25 грн. (освітня субвенція);</w:t>
      </w:r>
    </w:p>
    <w:p w:rsidR="00BA020A" w:rsidRDefault="000F479D">
      <w:pPr>
        <w:pStyle w:val="Standard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придбанн</w:t>
      </w:r>
      <w:r>
        <w:rPr>
          <w:sz w:val="28"/>
          <w:szCs w:val="28"/>
          <w:lang w:val="uk-UA"/>
        </w:rPr>
        <w:t>я запасних частин для автомобілів– 24949,00 грн. (освітня субвенція);</w:t>
      </w:r>
    </w:p>
    <w:p w:rsidR="00BA020A" w:rsidRDefault="000F479D">
      <w:pPr>
        <w:pStyle w:val="Standard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придбання необоротних активів (меблі, підставки під каструлі, МФУ </w:t>
      </w:r>
      <w:proofErr w:type="spellStart"/>
      <w:r>
        <w:rPr>
          <w:sz w:val="28"/>
          <w:szCs w:val="28"/>
          <w:lang w:val="uk-UA"/>
        </w:rPr>
        <w:t>струмний</w:t>
      </w:r>
      <w:proofErr w:type="spellEnd"/>
      <w:r>
        <w:rPr>
          <w:sz w:val="28"/>
          <w:szCs w:val="28"/>
          <w:lang w:val="uk-UA"/>
        </w:rPr>
        <w:t>, дошка класна)  – 211770,00 грн.(освітня субвенція);</w:t>
      </w:r>
    </w:p>
    <w:p w:rsidR="00BA020A" w:rsidRDefault="000F479D">
      <w:pPr>
        <w:pStyle w:val="Standard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придбання постільної білизни, килимові покриття, калош</w:t>
      </w:r>
      <w:r>
        <w:rPr>
          <w:sz w:val="28"/>
          <w:szCs w:val="28"/>
          <w:lang w:val="uk-UA"/>
        </w:rPr>
        <w:t xml:space="preserve">і гумові, подушок, скатертина, підковдра, рушники, матраци ортопедичні – 165962,00 грн. (освітня субвенція); </w:t>
      </w:r>
    </w:p>
    <w:p w:rsidR="00BA020A" w:rsidRDefault="000F479D">
      <w:pPr>
        <w:pStyle w:val="Standard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придбання автомат ввідний 380в 160А – 3955,00 грн., щит, електричний металевий – 4730,00 грн. (обласний бюджет);</w:t>
      </w:r>
    </w:p>
    <w:p w:rsidR="00BA020A" w:rsidRDefault="000F479D">
      <w:pPr>
        <w:pStyle w:val="Standard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придбання мобільний стенд Х –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баннер</w:t>
      </w:r>
      <w:proofErr w:type="spellEnd"/>
      <w:r>
        <w:rPr>
          <w:sz w:val="28"/>
          <w:szCs w:val="28"/>
          <w:lang w:val="uk-UA"/>
        </w:rPr>
        <w:t xml:space="preserve"> – 3516,70 грн. (обласний бюджет);</w:t>
      </w:r>
    </w:p>
    <w:p w:rsidR="00BA020A" w:rsidRDefault="000F479D">
      <w:pPr>
        <w:pStyle w:val="Standard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виготовлення технічної документації на пожежну сигналізацію 98,940 грн.</w:t>
      </w:r>
    </w:p>
    <w:p w:rsidR="00BA020A" w:rsidRDefault="000F479D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Надійшло коштів із 01 вересня  2019 року по травень 2020 року по:</w:t>
      </w:r>
    </w:p>
    <w:p w:rsidR="00BA020A" w:rsidRDefault="000F479D">
      <w:pPr>
        <w:pStyle w:val="Standard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КЕКВ 2111(заробітна плата) в сумі 7608152,44 грн. витрачено 6758830,08 г</w:t>
      </w:r>
      <w:r>
        <w:rPr>
          <w:sz w:val="28"/>
          <w:szCs w:val="28"/>
          <w:lang w:val="uk-UA"/>
        </w:rPr>
        <w:t>рн. на виплату заробітної плати;</w:t>
      </w:r>
    </w:p>
    <w:p w:rsidR="00BA020A" w:rsidRDefault="000F479D">
      <w:pPr>
        <w:pStyle w:val="Standard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КЕКВ 2120 (нарахування на оплату праці) надійшло 1661427,98 грн. витрачено 1461458,24 грн. нарахування на оплату праці;</w:t>
      </w:r>
    </w:p>
    <w:p w:rsidR="00BA020A" w:rsidRDefault="000F479D">
      <w:pPr>
        <w:pStyle w:val="Standard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КЕКВ 2210 (предмети, матеріали, обладнання та інвентар) надійшло 501954,81 грн., витрачено 488155,5</w:t>
      </w:r>
      <w:r>
        <w:rPr>
          <w:sz w:val="28"/>
          <w:szCs w:val="28"/>
          <w:lang w:val="uk-UA"/>
        </w:rPr>
        <w:t>3 грн. на підписку періодичних видань, новорічні подарунки, придбання паперу А-4, шкільний м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який інвентар, господарчі товари, дидактика для учнів, меблі, килимове покриття, запасні частини;</w:t>
      </w:r>
    </w:p>
    <w:p w:rsidR="00BA020A" w:rsidRDefault="000F479D">
      <w:pPr>
        <w:pStyle w:val="Standard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КЕКВ 2220 (медикаменти та перев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язувальні матеріали) надійшло 1</w:t>
      </w:r>
      <w:r>
        <w:rPr>
          <w:sz w:val="28"/>
          <w:szCs w:val="28"/>
          <w:lang w:val="uk-UA"/>
        </w:rPr>
        <w:t>5803,00 грн  витрачено 15803,00 грн. на придбання медикаментів;</w:t>
      </w:r>
    </w:p>
    <w:p w:rsidR="00BA020A" w:rsidRDefault="000F479D">
      <w:pPr>
        <w:pStyle w:val="Standard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КЕКВ 2230 (продукти харчування) надійшло 881998,30 грн витрачено 881998,30 грн. на продукти харчування;</w:t>
      </w:r>
    </w:p>
    <w:p w:rsidR="00BA020A" w:rsidRDefault="000F479D">
      <w:pPr>
        <w:pStyle w:val="Standard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КЕКВ 2240 (оплата послуг (крім комунальних) надійшло 121807,98 грн., витрачено 11811</w:t>
      </w:r>
      <w:r>
        <w:rPr>
          <w:sz w:val="28"/>
          <w:szCs w:val="28"/>
          <w:lang w:val="uk-UA"/>
        </w:rPr>
        <w:t>1,33 грн.- сплачено за послуги зв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 xml:space="preserve">язку, аналізи води, страховка автомобілів, обслуговування холодильників, пожежних рукавів, заправка </w:t>
      </w:r>
      <w:proofErr w:type="spellStart"/>
      <w:r>
        <w:rPr>
          <w:sz w:val="28"/>
          <w:szCs w:val="28"/>
          <w:lang w:val="uk-UA"/>
        </w:rPr>
        <w:t>катриджів</w:t>
      </w:r>
      <w:proofErr w:type="spellEnd"/>
      <w:r>
        <w:rPr>
          <w:sz w:val="28"/>
          <w:szCs w:val="28"/>
          <w:lang w:val="uk-UA"/>
        </w:rPr>
        <w:t>, діагностика машин, газове обслуговування, вивіз сміття;</w:t>
      </w:r>
    </w:p>
    <w:p w:rsidR="00BA020A" w:rsidRDefault="000F479D">
      <w:pPr>
        <w:pStyle w:val="Standard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КЕКВ 2250 (видатки на відрядження)  надійшло 30786,37</w:t>
      </w:r>
      <w:r>
        <w:rPr>
          <w:sz w:val="28"/>
          <w:szCs w:val="28"/>
          <w:lang w:val="uk-UA"/>
        </w:rPr>
        <w:t xml:space="preserve"> грн., витрачено 30625,26 грн. на виплату відрядних;</w:t>
      </w:r>
    </w:p>
    <w:p w:rsidR="00BA020A" w:rsidRDefault="000F479D">
      <w:pPr>
        <w:pStyle w:val="Standard"/>
        <w:spacing w:line="360" w:lineRule="auto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>- КЕКВ 2271 (оплата теплопостачання) надійшло 1761400,52 грн., витрачено 1761303,95 грн. на оплату теплопостачання;</w:t>
      </w:r>
    </w:p>
    <w:p w:rsidR="00BA020A" w:rsidRDefault="000F479D">
      <w:pPr>
        <w:pStyle w:val="Standard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КЕКВ 2272 (оплата водопостачання та водовідведення) надійшло 30564,80 грн., витрачено</w:t>
      </w:r>
      <w:r>
        <w:rPr>
          <w:sz w:val="28"/>
          <w:szCs w:val="28"/>
          <w:lang w:val="uk-UA"/>
        </w:rPr>
        <w:t xml:space="preserve"> 27172,00 грн. на оплату водовідведення;</w:t>
      </w:r>
    </w:p>
    <w:p w:rsidR="00BA020A" w:rsidRDefault="000F479D">
      <w:pPr>
        <w:pStyle w:val="Standard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КЕКВ 2273 (оплата електроенергії)  надійшло 175777,99 грн., витрачено 156997,16 грн. на оплату електроенергії;</w:t>
      </w:r>
    </w:p>
    <w:p w:rsidR="00BA020A" w:rsidRDefault="000F479D">
      <w:pPr>
        <w:pStyle w:val="Standard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КЕКВ 2275 (оплата інших енергоносіїв)  надійшло 3331,92 грн., витрачено 2731,92 грн. на оплату вивоз</w:t>
      </w:r>
      <w:r>
        <w:rPr>
          <w:sz w:val="28"/>
          <w:szCs w:val="28"/>
          <w:lang w:val="uk-UA"/>
        </w:rPr>
        <w:t>у мусора.;</w:t>
      </w:r>
    </w:p>
    <w:p w:rsidR="00BA020A" w:rsidRDefault="000F479D">
      <w:pPr>
        <w:pStyle w:val="Standard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КЕКВ 2282 (окремі заходи по реалізації державних (регіональних) програм, не віднесені до заходів розвитку) надійшло 500,00 грн. витрачено 500,00 грн. на курси підвищення кваліфікації з охорони праці;</w:t>
      </w:r>
    </w:p>
    <w:p w:rsidR="00BA020A" w:rsidRDefault="000F479D">
      <w:pPr>
        <w:pStyle w:val="Standard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КЕКВ 2800 (інші поточні видатки) надійшло</w:t>
      </w:r>
      <w:r>
        <w:rPr>
          <w:sz w:val="28"/>
          <w:szCs w:val="28"/>
          <w:lang w:val="uk-UA"/>
        </w:rPr>
        <w:t xml:space="preserve"> 1453,50 грн., витрачено 1453,50 грн. на оплату за надри;</w:t>
      </w:r>
    </w:p>
    <w:p w:rsidR="00BA020A" w:rsidRDefault="000F479D">
      <w:pPr>
        <w:pStyle w:val="Standard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КЕКВ 3110 (придбання обладнання і предметів довгострокового користування) надійшло 119340,00 грн., витрачено 104340,00 грн на придбання ванна мийна, </w:t>
      </w:r>
      <w:proofErr w:type="spellStart"/>
      <w:r>
        <w:rPr>
          <w:sz w:val="28"/>
          <w:szCs w:val="28"/>
          <w:lang w:val="uk-UA"/>
        </w:rPr>
        <w:t>марміт</w:t>
      </w:r>
      <w:proofErr w:type="spellEnd"/>
      <w:r>
        <w:rPr>
          <w:sz w:val="28"/>
          <w:szCs w:val="28"/>
          <w:lang w:val="uk-UA"/>
        </w:rPr>
        <w:t xml:space="preserve"> професійний електричний, компресор для х</w:t>
      </w:r>
      <w:r>
        <w:rPr>
          <w:sz w:val="28"/>
          <w:szCs w:val="28"/>
          <w:lang w:val="uk-UA"/>
        </w:rPr>
        <w:t>олодильної камери, насос глибинний, БФП Лазерний.</w:t>
      </w:r>
    </w:p>
    <w:p w:rsidR="00BA020A" w:rsidRDefault="000F479D">
      <w:pPr>
        <w:pStyle w:val="Standard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ab/>
      </w:r>
      <w:r w:rsidRPr="005B7656">
        <w:rPr>
          <w:sz w:val="28"/>
          <w:szCs w:val="28"/>
          <w:lang w:val="ru-RU"/>
        </w:rPr>
        <w:t xml:space="preserve">За </w:t>
      </w:r>
      <w:r>
        <w:rPr>
          <w:sz w:val="28"/>
          <w:szCs w:val="28"/>
          <w:lang w:val="uk-UA"/>
        </w:rPr>
        <w:t xml:space="preserve">2019/2020 навчальний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ік </w:t>
      </w:r>
      <w:r w:rsidRPr="005B7656">
        <w:rPr>
          <w:sz w:val="28"/>
          <w:szCs w:val="28"/>
          <w:lang w:val="ru-RU"/>
        </w:rPr>
        <w:t xml:space="preserve">залучено </w:t>
      </w:r>
      <w:proofErr w:type="spellStart"/>
      <w:r w:rsidRPr="005B7656">
        <w:rPr>
          <w:sz w:val="28"/>
          <w:szCs w:val="28"/>
          <w:lang w:val="ru-RU"/>
        </w:rPr>
        <w:t>додаткових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B7656">
        <w:rPr>
          <w:sz w:val="28"/>
          <w:szCs w:val="28"/>
          <w:lang w:val="ru-RU"/>
        </w:rPr>
        <w:t>джерел</w:t>
      </w:r>
      <w:proofErr w:type="spellEnd"/>
      <w:r w:rsidRPr="005B7656">
        <w:rPr>
          <w:sz w:val="28"/>
          <w:szCs w:val="28"/>
          <w:lang w:val="ru-RU"/>
        </w:rPr>
        <w:t xml:space="preserve"> </w:t>
      </w:r>
      <w:proofErr w:type="spellStart"/>
      <w:r w:rsidRPr="005B7656">
        <w:rPr>
          <w:sz w:val="28"/>
          <w:szCs w:val="28"/>
          <w:lang w:val="ru-RU"/>
        </w:rPr>
        <w:t>фінансування</w:t>
      </w:r>
      <w:proofErr w:type="spellEnd"/>
      <w:r w:rsidRPr="005B7656">
        <w:rPr>
          <w:sz w:val="28"/>
          <w:szCs w:val="28"/>
          <w:lang w:val="ru-RU"/>
        </w:rPr>
        <w:t xml:space="preserve"> закладу, як </w:t>
      </w:r>
      <w:proofErr w:type="spellStart"/>
      <w:r w:rsidRPr="005B7656">
        <w:rPr>
          <w:sz w:val="28"/>
          <w:szCs w:val="28"/>
          <w:lang w:val="ru-RU"/>
        </w:rPr>
        <w:t>благодійна</w:t>
      </w:r>
      <w:proofErr w:type="spellEnd"/>
      <w:r w:rsidRPr="005B7656">
        <w:rPr>
          <w:sz w:val="28"/>
          <w:szCs w:val="28"/>
          <w:lang w:val="ru-RU"/>
        </w:rPr>
        <w:t xml:space="preserve"> </w:t>
      </w:r>
      <w:proofErr w:type="spellStart"/>
      <w:r w:rsidRPr="005B7656">
        <w:rPr>
          <w:sz w:val="28"/>
          <w:szCs w:val="28"/>
          <w:lang w:val="ru-RU"/>
        </w:rPr>
        <w:t>допомога</w:t>
      </w:r>
      <w:proofErr w:type="spellEnd"/>
      <w:r w:rsidRPr="005B7656">
        <w:rPr>
          <w:sz w:val="28"/>
          <w:szCs w:val="28"/>
          <w:lang w:val="ru-RU"/>
        </w:rPr>
        <w:t xml:space="preserve"> </w:t>
      </w:r>
      <w:proofErr w:type="spellStart"/>
      <w:r w:rsidRPr="005B7656">
        <w:rPr>
          <w:sz w:val="28"/>
          <w:szCs w:val="28"/>
          <w:lang w:val="ru-RU"/>
        </w:rPr>
        <w:t>від</w:t>
      </w:r>
      <w:proofErr w:type="spellEnd"/>
      <w:r w:rsidRPr="005B7656">
        <w:rPr>
          <w:sz w:val="28"/>
          <w:szCs w:val="28"/>
          <w:lang w:val="ru-RU"/>
        </w:rPr>
        <w:t>:</w:t>
      </w:r>
    </w:p>
    <w:p w:rsidR="00BA020A" w:rsidRDefault="000F479D">
      <w:pPr>
        <w:pStyle w:val="Textbody"/>
        <w:spacing w:line="360" w:lineRule="auto"/>
        <w:jc w:val="both"/>
      </w:pPr>
      <w:r>
        <w:rPr>
          <w:sz w:val="28"/>
          <w:szCs w:val="28"/>
        </w:rPr>
        <w:t xml:space="preserve">-ФОП </w:t>
      </w:r>
      <w:proofErr w:type="spellStart"/>
      <w:r>
        <w:rPr>
          <w:sz w:val="28"/>
          <w:szCs w:val="28"/>
        </w:rPr>
        <w:t>Світлична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в сумі 10 000 грн.</w:t>
      </w:r>
    </w:p>
    <w:p w:rsidR="00BA020A" w:rsidRDefault="000F479D">
      <w:pPr>
        <w:pStyle w:val="Standard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de-DE"/>
        </w:rPr>
        <w:t xml:space="preserve">- </w:t>
      </w:r>
      <w:proofErr w:type="spellStart"/>
      <w:r>
        <w:rPr>
          <w:sz w:val="28"/>
          <w:szCs w:val="28"/>
        </w:rPr>
        <w:t>Харківської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</w:rPr>
        <w:t>митниці</w:t>
      </w:r>
      <w:proofErr w:type="spellEnd"/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uk-UA"/>
        </w:rPr>
        <w:t>ДФС</w:t>
      </w:r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</w:rPr>
        <w:t>Благодійн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</w:rPr>
        <w:t>фонд</w:t>
      </w:r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de-DE"/>
        </w:rPr>
        <w:t xml:space="preserve"> «</w:t>
      </w:r>
      <w:r>
        <w:rPr>
          <w:sz w:val="28"/>
          <w:szCs w:val="28"/>
        </w:rPr>
        <w:t>ПЛАРІУМ</w:t>
      </w:r>
      <w:r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«Громадянин», приватних осіб </w:t>
      </w:r>
      <w:proofErr w:type="spellStart"/>
      <w:r>
        <w:rPr>
          <w:sz w:val="28"/>
          <w:szCs w:val="28"/>
          <w:lang w:val="uk-UA"/>
        </w:rPr>
        <w:t>Єсінової</w:t>
      </w:r>
      <w:proofErr w:type="spellEnd"/>
      <w:r>
        <w:rPr>
          <w:sz w:val="28"/>
          <w:szCs w:val="28"/>
          <w:lang w:val="uk-UA"/>
        </w:rPr>
        <w:t xml:space="preserve"> Н.І., </w:t>
      </w:r>
      <w:proofErr w:type="spellStart"/>
      <w:r>
        <w:rPr>
          <w:sz w:val="28"/>
          <w:szCs w:val="28"/>
          <w:lang w:val="uk-UA"/>
        </w:rPr>
        <w:t>Артяшова</w:t>
      </w:r>
      <w:proofErr w:type="spellEnd"/>
      <w:r>
        <w:rPr>
          <w:sz w:val="28"/>
          <w:szCs w:val="28"/>
          <w:lang w:val="uk-UA"/>
        </w:rPr>
        <w:t xml:space="preserve"> О.Ф., Департаменту науки і освіти Харківської облдержадміністрації надано ігрові набори, </w:t>
      </w:r>
      <w:r>
        <w:rPr>
          <w:sz w:val="28"/>
          <w:szCs w:val="28"/>
          <w:lang w:val="uk-UA"/>
        </w:rPr>
        <w:lastRenderedPageBreak/>
        <w:t xml:space="preserve">бензопила, олива для двигунів, конструктори, віконні блоки,  господарчі товари, на суму 74892,54 грн. </w:t>
      </w:r>
    </w:p>
    <w:p w:rsidR="00BA020A" w:rsidRDefault="000F479D">
      <w:pPr>
        <w:pStyle w:val="Standard"/>
        <w:spacing w:line="360" w:lineRule="auto"/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Із метою з</w:t>
      </w:r>
      <w:r>
        <w:rPr>
          <w:sz w:val="28"/>
          <w:szCs w:val="28"/>
          <w:lang w:val="uk-UA"/>
        </w:rPr>
        <w:t>береження та поповнення матеріально-технічної бази закладу придбано м’який інвентар (килимове покриття, ортопедичні матраци, постільна білизна ) на суму 165962,00 грн.</w:t>
      </w:r>
    </w:p>
    <w:p w:rsidR="00BA020A" w:rsidRDefault="000F479D">
      <w:pPr>
        <w:pStyle w:val="Textbody"/>
        <w:spacing w:line="360" w:lineRule="auto"/>
        <w:ind w:firstLine="708"/>
        <w:jc w:val="both"/>
      </w:pPr>
      <w:proofErr w:type="spellStart"/>
      <w:r>
        <w:rPr>
          <w:sz w:val="28"/>
          <w:szCs w:val="28"/>
        </w:rPr>
        <w:t>Усі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товари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потреб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>.</w:t>
      </w:r>
    </w:p>
    <w:p w:rsidR="00BA020A" w:rsidRDefault="000F479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У закладі створено піклувальну раду, </w:t>
      </w:r>
      <w:r>
        <w:rPr>
          <w:rFonts w:ascii="Times New Roman" w:hAnsi="Times New Roman"/>
          <w:sz w:val="28"/>
          <w:szCs w:val="28"/>
        </w:rPr>
        <w:t xml:space="preserve">представниками якої є працівники Центру, </w:t>
      </w:r>
      <w:proofErr w:type="spellStart"/>
      <w:r>
        <w:rPr>
          <w:rFonts w:ascii="Times New Roman" w:hAnsi="Times New Roman"/>
          <w:sz w:val="28"/>
          <w:szCs w:val="28"/>
        </w:rPr>
        <w:t>Сахновщинської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районної ради. Піклувальна рада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сприяє зміцненню матеріально-технічної, культурно-спортивної та оздоровчої бази Центру; організації та проведенню заходів, спрямова</w:t>
      </w:r>
      <w:r>
        <w:rPr>
          <w:rFonts w:ascii="Times New Roman" w:hAnsi="Times New Roman"/>
          <w:sz w:val="28"/>
          <w:szCs w:val="28"/>
        </w:rPr>
        <w:t xml:space="preserve">них на охорону життя та здоров'я учасників освітнього процесу; всебічному зміцненню </w:t>
      </w:r>
      <w:proofErr w:type="spellStart"/>
      <w:r>
        <w:rPr>
          <w:rFonts w:ascii="Times New Roman" w:hAnsi="Times New Roman"/>
          <w:sz w:val="28"/>
          <w:szCs w:val="28"/>
        </w:rPr>
        <w:t>зв'язків</w:t>
      </w:r>
      <w:proofErr w:type="spellEnd"/>
      <w:r>
        <w:rPr>
          <w:rFonts w:ascii="Times New Roman" w:hAnsi="Times New Roman"/>
          <w:sz w:val="28"/>
          <w:szCs w:val="28"/>
        </w:rPr>
        <w:t xml:space="preserve"> між родинами учнів та Центром; соціально-правовому захисту здобувачів освіти. Налагоджено співпрацю із громадською організацією «</w:t>
      </w:r>
      <w:proofErr w:type="spellStart"/>
      <w:r>
        <w:rPr>
          <w:rFonts w:ascii="Times New Roman" w:hAnsi="Times New Roman"/>
          <w:sz w:val="28"/>
          <w:szCs w:val="28"/>
        </w:rPr>
        <w:t>Лайф</w:t>
      </w:r>
      <w:proofErr w:type="spellEnd"/>
      <w:r>
        <w:rPr>
          <w:rFonts w:ascii="Times New Roman" w:hAnsi="Times New Roman"/>
          <w:sz w:val="28"/>
          <w:szCs w:val="28"/>
        </w:rPr>
        <w:t xml:space="preserve"> Інтернешнл», розроблено спіль</w:t>
      </w:r>
      <w:r>
        <w:rPr>
          <w:rFonts w:ascii="Times New Roman" w:hAnsi="Times New Roman"/>
          <w:sz w:val="28"/>
          <w:szCs w:val="28"/>
        </w:rPr>
        <w:t>ний план роботи з дітьми закладу.</w:t>
      </w:r>
    </w:p>
    <w:p w:rsidR="00BA020A" w:rsidRPr="005B7656" w:rsidRDefault="000F479D">
      <w:pPr>
        <w:pStyle w:val="Standard"/>
        <w:spacing w:line="360" w:lineRule="auto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>Батьківська громадськість сприяє зміцненню освітнього процесу закладу</w:t>
      </w:r>
      <w:r>
        <w:rPr>
          <w:sz w:val="28"/>
          <w:szCs w:val="28"/>
          <w:lang w:val="uk-UA"/>
        </w:rPr>
        <w:t>. Систематично підтримуються зв’язки із батьківським комітетом: проводяться батьківські збори, індивідуальні консультації для батьків, дні відкритих две</w:t>
      </w:r>
      <w:r>
        <w:rPr>
          <w:sz w:val="28"/>
          <w:szCs w:val="28"/>
          <w:lang w:val="uk-UA"/>
        </w:rPr>
        <w:t xml:space="preserve">рей. </w:t>
      </w:r>
      <w:r>
        <w:rPr>
          <w:color w:val="000000"/>
          <w:sz w:val="28"/>
          <w:szCs w:val="28"/>
          <w:lang w:val="uk-UA"/>
        </w:rPr>
        <w:t>Взаємини членів учнівського, батьківського й педагогічного колективів побудовані на довірі, взаємоповазі й співробітництві.</w:t>
      </w:r>
    </w:p>
    <w:p w:rsidR="00BA020A" w:rsidRPr="005B7656" w:rsidRDefault="000F479D">
      <w:pPr>
        <w:pStyle w:val="Standard"/>
        <w:spacing w:line="360" w:lineRule="auto"/>
        <w:jc w:val="both"/>
        <w:rPr>
          <w:lang w:val="uk-UA"/>
        </w:rPr>
      </w:pPr>
      <w:r>
        <w:rPr>
          <w:rStyle w:val="FontStyle11"/>
          <w:b w:val="0"/>
          <w:color w:val="000000"/>
          <w:sz w:val="28"/>
          <w:szCs w:val="28"/>
          <w:lang w:val="uk-UA"/>
        </w:rPr>
        <w:tab/>
      </w:r>
      <w:r>
        <w:rPr>
          <w:rStyle w:val="FontStyle11"/>
          <w:b w:val="0"/>
          <w:bCs w:val="0"/>
          <w:sz w:val="28"/>
          <w:szCs w:val="28"/>
          <w:lang w:val="uk-UA"/>
        </w:rPr>
        <w:t>Центру надають посильну допомогу Харківський державний університет харчування і торгівлі, Харківська митниця, Головне управлін</w:t>
      </w:r>
      <w:r>
        <w:rPr>
          <w:rStyle w:val="FontStyle11"/>
          <w:b w:val="0"/>
          <w:bCs w:val="0"/>
          <w:sz w:val="28"/>
          <w:szCs w:val="28"/>
          <w:lang w:val="uk-UA"/>
        </w:rPr>
        <w:t>ня Національної поліції України в Харківській області, благодійний фонд “</w:t>
      </w:r>
      <w:proofErr w:type="spellStart"/>
      <w:r>
        <w:rPr>
          <w:rStyle w:val="FontStyle11"/>
          <w:b w:val="0"/>
          <w:bCs w:val="0"/>
          <w:sz w:val="28"/>
          <w:szCs w:val="28"/>
          <w:lang w:val="uk-UA"/>
        </w:rPr>
        <w:t>Пларіум</w:t>
      </w:r>
      <w:proofErr w:type="spellEnd"/>
      <w:r>
        <w:rPr>
          <w:rStyle w:val="FontStyle11"/>
          <w:b w:val="0"/>
          <w:bCs w:val="0"/>
          <w:sz w:val="28"/>
          <w:szCs w:val="28"/>
          <w:lang w:val="uk-UA"/>
        </w:rPr>
        <w:t>”, “</w:t>
      </w:r>
      <w:proofErr w:type="spellStart"/>
      <w:r>
        <w:rPr>
          <w:rStyle w:val="FontStyle11"/>
          <w:b w:val="0"/>
          <w:bCs w:val="0"/>
          <w:sz w:val="28"/>
          <w:szCs w:val="28"/>
          <w:lang w:val="uk-UA"/>
        </w:rPr>
        <w:t>Лайф</w:t>
      </w:r>
      <w:proofErr w:type="spellEnd"/>
      <w:r>
        <w:rPr>
          <w:rStyle w:val="FontStyle11"/>
          <w:b w:val="0"/>
          <w:bCs w:val="0"/>
          <w:sz w:val="28"/>
          <w:szCs w:val="28"/>
          <w:lang w:val="uk-UA"/>
        </w:rPr>
        <w:t xml:space="preserve"> Інтернешнл” організовують автобусні екскурсії, розважальні програми, вручення святкових подарунків, поповнюють матеріальну базу закладу тощо</w:t>
      </w:r>
      <w:r>
        <w:rPr>
          <w:rStyle w:val="FontStyle11"/>
          <w:b w:val="0"/>
          <w:sz w:val="28"/>
          <w:szCs w:val="28"/>
          <w:lang w:val="uk-UA"/>
        </w:rPr>
        <w:t>.</w:t>
      </w:r>
    </w:p>
    <w:p w:rsidR="00BA020A" w:rsidRDefault="000F479D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Враховуючи, що у 2020/202</w:t>
      </w:r>
      <w:r>
        <w:rPr>
          <w:rFonts w:ascii="Times New Roman" w:hAnsi="Times New Roman"/>
          <w:sz w:val="28"/>
          <w:szCs w:val="28"/>
        </w:rPr>
        <w:t>1 навчальному році педагогічний колектив  Центру продовжить працювати над методичною темою «Соціальна адаптація дітей із затримкою психічного розвитку у сучасному суспільстві», пріоритетними будуть такі завдання:</w:t>
      </w:r>
    </w:p>
    <w:p w:rsidR="00BA020A" w:rsidRDefault="000F479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/>
          <w:sz w:val="28"/>
          <w:szCs w:val="28"/>
        </w:rPr>
        <w:t>Забезпечення доступної та якісної спеціа</w:t>
      </w:r>
      <w:r>
        <w:rPr>
          <w:rFonts w:ascii="Times New Roman" w:hAnsi="Times New Roman"/>
          <w:sz w:val="28"/>
          <w:szCs w:val="28"/>
        </w:rPr>
        <w:t>льної освіти відповідно до вимог суспільства та запитів особистості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A020A" w:rsidRDefault="000F479D">
      <w:pPr>
        <w:shd w:val="clear" w:color="auto" w:fill="FFFFFF"/>
        <w:tabs>
          <w:tab w:val="left" w:pos="993"/>
        </w:tabs>
        <w:spacing w:line="360" w:lineRule="auto"/>
        <w:jc w:val="both"/>
        <w:textAlignment w:val="top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Удосконалення системи моніторингових досліджень якості спеціальної освіти</w:t>
      </w:r>
      <w:r>
        <w:rPr>
          <w:rFonts w:ascii="Times New Roman" w:hAnsi="Times New Roman"/>
          <w:sz w:val="28"/>
          <w:szCs w:val="28"/>
        </w:rPr>
        <w:t>.</w:t>
      </w:r>
    </w:p>
    <w:p w:rsidR="00BA020A" w:rsidRDefault="000F479D">
      <w:pPr>
        <w:shd w:val="clear" w:color="auto" w:fill="FFFFFF"/>
        <w:tabs>
          <w:tab w:val="left" w:pos="993"/>
        </w:tabs>
        <w:spacing w:line="360" w:lineRule="auto"/>
        <w:jc w:val="both"/>
        <w:textAlignment w:val="top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3.Забезпечення прав дітей із складними вадами розвитку (тяжкими системними мовленнєвими порушеннями,  затрим</w:t>
      </w:r>
      <w:r>
        <w:rPr>
          <w:rFonts w:ascii="Times New Roman" w:hAnsi="Times New Roman"/>
          <w:sz w:val="28"/>
          <w:szCs w:val="28"/>
        </w:rPr>
        <w:t>кою психічного розвитку) на здобуття   загальної середньої освіти відповідно до їх можливостей, здібностей, з урахуванням індивідуальних особливостей розвитку.</w:t>
      </w:r>
    </w:p>
    <w:p w:rsidR="00BA020A" w:rsidRDefault="000F479D">
      <w:pPr>
        <w:shd w:val="clear" w:color="auto" w:fill="FFFFFF"/>
        <w:tabs>
          <w:tab w:val="left" w:pos="993"/>
        </w:tabs>
        <w:spacing w:line="360" w:lineRule="auto"/>
        <w:jc w:val="both"/>
        <w:textAlignment w:val="top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 Забезпечення ранньої соціалізації дітей у комплексі з психолого-педагогічною, медичною, фізич</w:t>
      </w:r>
      <w:r>
        <w:rPr>
          <w:rFonts w:ascii="Times New Roman" w:hAnsi="Times New Roman"/>
          <w:sz w:val="28"/>
          <w:szCs w:val="28"/>
        </w:rPr>
        <w:t>ною, соціальною реабілітацією.</w:t>
      </w:r>
    </w:p>
    <w:p w:rsidR="00BA020A" w:rsidRDefault="000F479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 Надання реабілітаційних послуг згідно з індивідуальною програмою реабілітації дитини з інвалідністю.</w:t>
      </w:r>
    </w:p>
    <w:p w:rsidR="00BA020A" w:rsidRDefault="000F479D">
      <w:pPr>
        <w:shd w:val="clear" w:color="auto" w:fill="FFFFFF"/>
        <w:tabs>
          <w:tab w:val="left" w:pos="993"/>
        </w:tabs>
        <w:spacing w:line="360" w:lineRule="auto"/>
        <w:jc w:val="both"/>
        <w:textAlignment w:val="top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5. Надання психолого-педагогічної допомоги батькам (особам, які їх замінюють), які виховують дітей з інвалідністю, із </w:t>
      </w:r>
      <w:r>
        <w:rPr>
          <w:rFonts w:ascii="Times New Roman" w:hAnsi="Times New Roman"/>
          <w:sz w:val="28"/>
          <w:szCs w:val="28"/>
        </w:rPr>
        <w:t>метою залучення їх та дітей до освітнього та реабілітаційного процесу.</w:t>
      </w:r>
    </w:p>
    <w:p w:rsidR="00BA020A" w:rsidRDefault="000F479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6.  Організація безпечного освітнього середовища, що сприятиме вільному розвитку творчої особистості дитини в рамках Нової української школи.</w:t>
      </w:r>
    </w:p>
    <w:p w:rsidR="00BA020A" w:rsidRDefault="000F479D">
      <w:pPr>
        <w:tabs>
          <w:tab w:val="left" w:pos="1255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Формування </w:t>
      </w:r>
      <w:proofErr w:type="spellStart"/>
      <w:r>
        <w:rPr>
          <w:rFonts w:ascii="Times New Roman" w:hAnsi="Times New Roman"/>
          <w:sz w:val="28"/>
          <w:szCs w:val="28"/>
        </w:rPr>
        <w:t>здоров'язбережувальної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</w:t>
      </w:r>
      <w:r>
        <w:rPr>
          <w:rFonts w:ascii="Times New Roman" w:hAnsi="Times New Roman"/>
          <w:sz w:val="28"/>
          <w:szCs w:val="28"/>
        </w:rPr>
        <w:t>ентності учасників освітнього процесу, досягнення позитивних змін у формуванні основ здорового способу життя</w:t>
      </w:r>
      <w:r>
        <w:rPr>
          <w:rFonts w:ascii="Times New Roman" w:hAnsi="Times New Roman"/>
          <w:sz w:val="28"/>
          <w:szCs w:val="28"/>
        </w:rPr>
        <w:t>.</w:t>
      </w:r>
    </w:p>
    <w:p w:rsidR="00BA020A" w:rsidRDefault="000F479D">
      <w:pPr>
        <w:tabs>
          <w:tab w:val="left" w:pos="1255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8. Формування у молодого покоління високої патріотичної свідомості, ціннісного ставлення особистості до українського народу, Батьківщини, держави,</w:t>
      </w:r>
      <w:r>
        <w:rPr>
          <w:rFonts w:ascii="Times New Roman" w:hAnsi="Times New Roman"/>
          <w:sz w:val="28"/>
          <w:szCs w:val="28"/>
        </w:rPr>
        <w:t xml:space="preserve"> нації.</w:t>
      </w:r>
      <w:bookmarkStart w:id="1" w:name="_GoBack1"/>
      <w:bookmarkEnd w:id="1"/>
      <w:r>
        <w:rPr>
          <w:rFonts w:ascii="Times New Roman" w:hAnsi="Times New Roman"/>
          <w:sz w:val="28"/>
          <w:szCs w:val="28"/>
        </w:rPr>
        <w:tab/>
      </w:r>
    </w:p>
    <w:p w:rsidR="00BA020A" w:rsidRDefault="000F479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9. Попередження правопорушень, злочинності та бездоглядності серед учнів.</w:t>
      </w:r>
    </w:p>
    <w:p w:rsidR="00BA020A" w:rsidRDefault="000F479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10. Підвищення  професійної майстерності  кожного педагога шляхом самоосвіти, участі у семінарах, курсовій перепідготовці.</w:t>
      </w:r>
    </w:p>
    <w:p w:rsidR="00BA020A" w:rsidRDefault="000F479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11. Підвищення результативності участі педагогів у</w:t>
      </w:r>
      <w:r>
        <w:rPr>
          <w:rFonts w:ascii="Times New Roman" w:hAnsi="Times New Roman"/>
          <w:sz w:val="28"/>
          <w:szCs w:val="28"/>
        </w:rPr>
        <w:t xml:space="preserve"> професійних конкурсах, освітніх </w:t>
      </w:r>
      <w:proofErr w:type="spellStart"/>
      <w:r>
        <w:rPr>
          <w:rFonts w:ascii="Times New Roman" w:hAnsi="Times New Roman"/>
          <w:sz w:val="28"/>
          <w:szCs w:val="28"/>
        </w:rPr>
        <w:t>проєктах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A020A" w:rsidRPr="005B7656" w:rsidRDefault="000F479D">
      <w:pPr>
        <w:pStyle w:val="Standard"/>
        <w:spacing w:line="360" w:lineRule="auto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>Хочу висловити слова подяки працівникам, які не залишалися осторонь життя Центру, вносили пропозиції щодо  покращення розвитку закладу, мають активну життєву позицію.</w:t>
      </w:r>
    </w:p>
    <w:p w:rsidR="00BA020A" w:rsidRDefault="00BA020A">
      <w:pPr>
        <w:pStyle w:val="Standard"/>
        <w:spacing w:line="360" w:lineRule="auto"/>
        <w:jc w:val="both"/>
        <w:rPr>
          <w:sz w:val="28"/>
          <w:szCs w:val="28"/>
          <w:lang w:val="uk-UA"/>
        </w:rPr>
      </w:pPr>
    </w:p>
    <w:p w:rsidR="00BA020A" w:rsidRDefault="00BA020A">
      <w:pPr>
        <w:pStyle w:val="Standard"/>
        <w:rPr>
          <w:sz w:val="28"/>
          <w:szCs w:val="28"/>
          <w:lang w:val="uk-UA"/>
        </w:rPr>
      </w:pPr>
    </w:p>
    <w:p w:rsidR="00BA020A" w:rsidRDefault="000F479D">
      <w:pPr>
        <w:pStyle w:val="Standard"/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</w:t>
      </w:r>
      <w:r>
        <w:rPr>
          <w:sz w:val="28"/>
          <w:szCs w:val="28"/>
          <w:lang w:val="uk-UA"/>
        </w:rPr>
        <w:t xml:space="preserve">  Н.В. </w:t>
      </w:r>
      <w:proofErr w:type="spellStart"/>
      <w:r>
        <w:rPr>
          <w:sz w:val="28"/>
          <w:szCs w:val="28"/>
          <w:lang w:val="uk-UA"/>
        </w:rPr>
        <w:t>Саніна</w:t>
      </w:r>
      <w:proofErr w:type="spellEnd"/>
    </w:p>
    <w:p w:rsidR="00BA020A" w:rsidRDefault="00BA020A">
      <w:pPr>
        <w:pStyle w:val="Standard"/>
        <w:rPr>
          <w:sz w:val="28"/>
          <w:szCs w:val="28"/>
          <w:lang w:val="uk-UA"/>
        </w:rPr>
      </w:pPr>
    </w:p>
    <w:p w:rsidR="00BA020A" w:rsidRDefault="00BA020A">
      <w:pPr>
        <w:pStyle w:val="Standard"/>
        <w:rPr>
          <w:sz w:val="28"/>
          <w:szCs w:val="28"/>
          <w:lang w:val="uk-UA"/>
        </w:rPr>
      </w:pPr>
    </w:p>
    <w:p w:rsidR="00BA020A" w:rsidRDefault="00BA020A">
      <w:pPr>
        <w:pStyle w:val="Standard"/>
        <w:rPr>
          <w:sz w:val="28"/>
          <w:szCs w:val="28"/>
          <w:lang w:val="uk-UA"/>
        </w:rPr>
      </w:pPr>
    </w:p>
    <w:p w:rsidR="00BA020A" w:rsidRDefault="00BA020A">
      <w:pPr>
        <w:pStyle w:val="Standard"/>
        <w:rPr>
          <w:sz w:val="28"/>
          <w:szCs w:val="28"/>
          <w:lang w:val="uk-UA"/>
        </w:rPr>
      </w:pPr>
    </w:p>
    <w:p w:rsidR="00BA020A" w:rsidRDefault="00BA020A">
      <w:pPr>
        <w:pStyle w:val="Standard"/>
        <w:rPr>
          <w:sz w:val="28"/>
          <w:szCs w:val="28"/>
          <w:lang w:val="uk-UA"/>
        </w:rPr>
      </w:pPr>
    </w:p>
    <w:p w:rsidR="00BA020A" w:rsidRDefault="00BA020A">
      <w:pPr>
        <w:pStyle w:val="Standard"/>
        <w:rPr>
          <w:sz w:val="28"/>
          <w:szCs w:val="28"/>
          <w:lang w:val="uk-UA"/>
        </w:rPr>
      </w:pPr>
    </w:p>
    <w:p w:rsidR="00BA020A" w:rsidRDefault="00BA020A">
      <w:pPr>
        <w:pStyle w:val="Standard"/>
        <w:rPr>
          <w:sz w:val="28"/>
          <w:szCs w:val="28"/>
          <w:lang w:val="uk-UA"/>
        </w:rPr>
      </w:pPr>
    </w:p>
    <w:p w:rsidR="00BA020A" w:rsidRDefault="00BA020A">
      <w:pPr>
        <w:pStyle w:val="Standard"/>
        <w:rPr>
          <w:sz w:val="28"/>
          <w:szCs w:val="28"/>
          <w:lang w:val="uk-UA"/>
        </w:rPr>
      </w:pPr>
    </w:p>
    <w:p w:rsidR="00BA020A" w:rsidRDefault="00BA020A">
      <w:pPr>
        <w:pStyle w:val="Standard"/>
        <w:rPr>
          <w:sz w:val="28"/>
          <w:szCs w:val="28"/>
          <w:lang w:val="uk-UA"/>
        </w:rPr>
      </w:pPr>
    </w:p>
    <w:p w:rsidR="00BA020A" w:rsidRDefault="00BA020A">
      <w:pPr>
        <w:pStyle w:val="Standard"/>
        <w:rPr>
          <w:sz w:val="28"/>
          <w:szCs w:val="28"/>
          <w:lang w:val="uk-UA"/>
        </w:rPr>
      </w:pPr>
    </w:p>
    <w:p w:rsidR="00BA020A" w:rsidRDefault="00BA020A">
      <w:pPr>
        <w:pStyle w:val="Standard"/>
        <w:rPr>
          <w:sz w:val="28"/>
          <w:szCs w:val="28"/>
          <w:lang w:val="uk-UA"/>
        </w:rPr>
      </w:pPr>
    </w:p>
    <w:p w:rsidR="00BA020A" w:rsidRDefault="00BA020A">
      <w:pPr>
        <w:pStyle w:val="Standard"/>
        <w:rPr>
          <w:sz w:val="28"/>
          <w:szCs w:val="28"/>
          <w:lang w:val="uk-UA"/>
        </w:rPr>
      </w:pPr>
    </w:p>
    <w:p w:rsidR="00BA020A" w:rsidRDefault="00BA020A">
      <w:pPr>
        <w:pStyle w:val="Standard"/>
        <w:rPr>
          <w:sz w:val="28"/>
          <w:szCs w:val="28"/>
          <w:lang w:val="uk-UA"/>
        </w:rPr>
      </w:pPr>
    </w:p>
    <w:p w:rsidR="00BA020A" w:rsidRDefault="00BA020A">
      <w:pPr>
        <w:pStyle w:val="Standard"/>
        <w:rPr>
          <w:sz w:val="28"/>
          <w:szCs w:val="28"/>
          <w:lang w:val="uk-UA"/>
        </w:rPr>
      </w:pPr>
    </w:p>
    <w:p w:rsidR="00BA020A" w:rsidRDefault="00BA020A">
      <w:pPr>
        <w:pStyle w:val="Standard"/>
        <w:rPr>
          <w:sz w:val="28"/>
          <w:szCs w:val="28"/>
          <w:lang w:val="uk-UA"/>
        </w:rPr>
      </w:pPr>
    </w:p>
    <w:p w:rsidR="00BA020A" w:rsidRDefault="00BA020A">
      <w:pPr>
        <w:pStyle w:val="Standard"/>
        <w:rPr>
          <w:sz w:val="28"/>
          <w:szCs w:val="28"/>
          <w:lang w:val="uk-UA"/>
        </w:rPr>
      </w:pPr>
    </w:p>
    <w:p w:rsidR="00BA020A" w:rsidRDefault="00BA020A">
      <w:pPr>
        <w:pStyle w:val="Standard"/>
        <w:rPr>
          <w:sz w:val="28"/>
          <w:szCs w:val="28"/>
          <w:lang w:val="uk-UA"/>
        </w:rPr>
      </w:pPr>
    </w:p>
    <w:p w:rsidR="00BA020A" w:rsidRDefault="00BA020A">
      <w:pPr>
        <w:pStyle w:val="Standard"/>
        <w:rPr>
          <w:sz w:val="28"/>
          <w:szCs w:val="28"/>
          <w:lang w:val="uk-UA"/>
        </w:rPr>
      </w:pPr>
    </w:p>
    <w:p w:rsidR="00BA020A" w:rsidRDefault="00BA020A">
      <w:pPr>
        <w:pStyle w:val="Standard"/>
        <w:rPr>
          <w:sz w:val="28"/>
          <w:szCs w:val="28"/>
          <w:lang w:val="uk-UA"/>
        </w:rPr>
      </w:pPr>
    </w:p>
    <w:p w:rsidR="00BA020A" w:rsidRDefault="00BA020A">
      <w:pPr>
        <w:pStyle w:val="Standard"/>
        <w:rPr>
          <w:sz w:val="28"/>
          <w:szCs w:val="28"/>
          <w:lang w:val="uk-UA"/>
        </w:rPr>
      </w:pPr>
    </w:p>
    <w:p w:rsidR="00BA020A" w:rsidRDefault="00BA020A">
      <w:pPr>
        <w:pStyle w:val="Standard"/>
        <w:rPr>
          <w:sz w:val="28"/>
          <w:szCs w:val="28"/>
          <w:lang w:val="uk-UA"/>
        </w:rPr>
      </w:pPr>
    </w:p>
    <w:p w:rsidR="00BA020A" w:rsidRDefault="00BA020A">
      <w:pPr>
        <w:pStyle w:val="Standard"/>
        <w:rPr>
          <w:sz w:val="28"/>
          <w:szCs w:val="28"/>
          <w:lang w:val="uk-UA"/>
        </w:rPr>
      </w:pPr>
    </w:p>
    <w:p w:rsidR="00BA020A" w:rsidRDefault="00BA020A">
      <w:pPr>
        <w:pStyle w:val="Standard"/>
        <w:rPr>
          <w:sz w:val="28"/>
          <w:szCs w:val="28"/>
          <w:lang w:val="uk-UA"/>
        </w:rPr>
      </w:pPr>
    </w:p>
    <w:p w:rsidR="00BA020A" w:rsidRDefault="00BA020A">
      <w:pPr>
        <w:pStyle w:val="Standard"/>
        <w:rPr>
          <w:sz w:val="28"/>
          <w:szCs w:val="28"/>
          <w:lang w:val="uk-UA"/>
        </w:rPr>
      </w:pPr>
    </w:p>
    <w:p w:rsidR="00BA020A" w:rsidRDefault="00BA020A">
      <w:pPr>
        <w:pStyle w:val="Standard"/>
        <w:rPr>
          <w:sz w:val="28"/>
          <w:szCs w:val="28"/>
          <w:lang w:val="uk-UA"/>
        </w:rPr>
      </w:pPr>
    </w:p>
    <w:p w:rsidR="00BA020A" w:rsidRDefault="00BA020A">
      <w:pPr>
        <w:pStyle w:val="Standard"/>
        <w:rPr>
          <w:sz w:val="28"/>
          <w:szCs w:val="28"/>
          <w:lang w:val="uk-UA"/>
        </w:rPr>
      </w:pPr>
    </w:p>
    <w:p w:rsidR="00BA020A" w:rsidRDefault="00BA020A">
      <w:pPr>
        <w:pStyle w:val="Standard"/>
        <w:rPr>
          <w:sz w:val="28"/>
          <w:szCs w:val="28"/>
          <w:lang w:val="uk-UA"/>
        </w:rPr>
      </w:pPr>
    </w:p>
    <w:p w:rsidR="00BA020A" w:rsidRDefault="00BA020A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BA020A" w:rsidRDefault="00BA02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20A" w:rsidRDefault="00BA02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20A" w:rsidRDefault="00BA020A">
      <w:pPr>
        <w:spacing w:line="276" w:lineRule="auto"/>
        <w:jc w:val="both"/>
      </w:pPr>
    </w:p>
    <w:sectPr w:rsidR="00BA020A">
      <w:headerReference w:type="default" r:id="rId19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79D" w:rsidRDefault="000F479D">
      <w:pPr>
        <w:spacing w:after="0" w:line="240" w:lineRule="auto"/>
      </w:pPr>
      <w:r>
        <w:separator/>
      </w:r>
    </w:p>
  </w:endnote>
  <w:endnote w:type="continuationSeparator" w:id="0">
    <w:p w:rsidR="000F479D" w:rsidRDefault="000F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79D" w:rsidRDefault="000F479D">
      <w:pPr>
        <w:spacing w:after="0" w:line="240" w:lineRule="auto"/>
      </w:pPr>
      <w:r>
        <w:separator/>
      </w:r>
    </w:p>
  </w:footnote>
  <w:footnote w:type="continuationSeparator" w:id="0">
    <w:p w:rsidR="000F479D" w:rsidRDefault="000F4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795907"/>
      <w:docPartObj>
        <w:docPartGallery w:val="Page Numbers (Top of Page)"/>
        <w:docPartUnique/>
      </w:docPartObj>
    </w:sdtPr>
    <w:sdtEndPr/>
    <w:sdtContent>
      <w:p w:rsidR="00BA020A" w:rsidRDefault="000F479D">
        <w:pPr>
          <w:pStyle w:val="a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B7656">
          <w:rPr>
            <w:noProof/>
          </w:rPr>
          <w:t>2</w:t>
        </w:r>
        <w:r>
          <w:fldChar w:fldCharType="end"/>
        </w:r>
      </w:p>
    </w:sdtContent>
  </w:sdt>
  <w:p w:rsidR="00BA020A" w:rsidRDefault="00BA020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0FBC"/>
    <w:multiLevelType w:val="multilevel"/>
    <w:tmpl w:val="8836F0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8E50B1E"/>
    <w:multiLevelType w:val="multilevel"/>
    <w:tmpl w:val="53880F4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5380B5F"/>
    <w:multiLevelType w:val="multilevel"/>
    <w:tmpl w:val="DE38B234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sz w:val="28"/>
      </w:rPr>
    </w:lvl>
    <w:lvl w:ilvl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3">
    <w:nsid w:val="722122BB"/>
    <w:multiLevelType w:val="multilevel"/>
    <w:tmpl w:val="30AE124E"/>
    <w:lvl w:ilvl="0">
      <w:start w:val="12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0A"/>
    <w:rsid w:val="000F479D"/>
    <w:rsid w:val="005B7656"/>
    <w:rsid w:val="00BA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CC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10568"/>
  </w:style>
  <w:style w:type="character" w:customStyle="1" w:styleId="a4">
    <w:name w:val="Нижний колонтитул Знак"/>
    <w:basedOn w:val="a0"/>
    <w:uiPriority w:val="99"/>
    <w:qFormat/>
    <w:rsid w:val="00710568"/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FontStyle11">
    <w:name w:val="Font Style11"/>
    <w:basedOn w:val="a0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ListLabel13">
    <w:name w:val="ListLabel 13"/>
    <w:qFormat/>
    <w:rPr>
      <w:rFonts w:cs="Times New Roman"/>
      <w:sz w:val="28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Times New Roman"/>
      <w:sz w:val="2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Times New Roman" w:hAnsi="Times New Roman" w:cs="Wingdings 2"/>
      <w:sz w:val="28"/>
    </w:rPr>
  </w:style>
  <w:style w:type="character" w:customStyle="1" w:styleId="ListLabel32">
    <w:name w:val="ListLabel 32"/>
    <w:qFormat/>
    <w:rPr>
      <w:rFonts w:cs="Wingdings 2"/>
    </w:rPr>
  </w:style>
  <w:style w:type="character" w:customStyle="1" w:styleId="ListLabel33">
    <w:name w:val="ListLabel 33"/>
    <w:qFormat/>
    <w:rPr>
      <w:rFonts w:cs="Wingdings 2"/>
    </w:rPr>
  </w:style>
  <w:style w:type="character" w:customStyle="1" w:styleId="ListLabel34">
    <w:name w:val="ListLabel 34"/>
    <w:qFormat/>
    <w:rPr>
      <w:rFonts w:cs="Wingdings 2"/>
    </w:rPr>
  </w:style>
  <w:style w:type="character" w:customStyle="1" w:styleId="ListLabel35">
    <w:name w:val="ListLabel 35"/>
    <w:qFormat/>
    <w:rPr>
      <w:rFonts w:cs="Wingdings 2"/>
    </w:rPr>
  </w:style>
  <w:style w:type="character" w:customStyle="1" w:styleId="ListLabel36">
    <w:name w:val="ListLabel 36"/>
    <w:qFormat/>
    <w:rPr>
      <w:rFonts w:cs="Wingdings 2"/>
    </w:rPr>
  </w:style>
  <w:style w:type="character" w:customStyle="1" w:styleId="ListLabel37">
    <w:name w:val="ListLabel 37"/>
    <w:qFormat/>
    <w:rPr>
      <w:rFonts w:cs="Wingdings 2"/>
    </w:rPr>
  </w:style>
  <w:style w:type="character" w:customStyle="1" w:styleId="ListLabel38">
    <w:name w:val="ListLabel 38"/>
    <w:qFormat/>
    <w:rPr>
      <w:rFonts w:cs="Wingdings 2"/>
    </w:rPr>
  </w:style>
  <w:style w:type="character" w:customStyle="1" w:styleId="ListLabel39">
    <w:name w:val="ListLabel 39"/>
    <w:qFormat/>
    <w:rPr>
      <w:rFonts w:cs="Wingdings 2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710568"/>
    <w:pPr>
      <w:tabs>
        <w:tab w:val="center" w:pos="4819"/>
        <w:tab w:val="right" w:pos="9639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710568"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Standard">
    <w:name w:val="Standard"/>
    <w:qFormat/>
    <w:rsid w:val="001441AA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ac">
    <w:name w:val="No Spacing"/>
    <w:uiPriority w:val="1"/>
    <w:qFormat/>
    <w:rsid w:val="001441AA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3A5F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extbody">
    <w:name w:val="Text body"/>
    <w:basedOn w:val="Standard"/>
    <w:qFormat/>
    <w:rsid w:val="00A33069"/>
    <w:pPr>
      <w:spacing w:after="120"/>
    </w:pPr>
    <w:rPr>
      <w:lang w:val="de-DE" w:eastAsia="ja-JP" w:bidi="fa-IR"/>
    </w:rPr>
  </w:style>
  <w:style w:type="paragraph" w:customStyle="1" w:styleId="ae">
    <w:name w:val="Содержимое врезки"/>
    <w:basedOn w:val="a"/>
    <w:qFormat/>
  </w:style>
  <w:style w:type="paragraph" w:customStyle="1" w:styleId="Standarduser">
    <w:name w:val="Standard (user)"/>
    <w:rsid w:val="005B7656"/>
    <w:pPr>
      <w:widowControl w:val="0"/>
      <w:suppressAutoHyphens/>
      <w:autoSpaceDN w:val="0"/>
    </w:pPr>
    <w:rPr>
      <w:rFonts w:ascii="Arial" w:eastAsia="SimSun, 宋体" w:hAnsi="Arial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5B7656"/>
    <w:pPr>
      <w:autoSpaceDN w:val="0"/>
      <w:textAlignment w:val="auto"/>
    </w:pPr>
    <w:rPr>
      <w:rFonts w:ascii="Arial" w:eastAsia="NSimSun" w:hAnsi="Arial" w:cs="Courier New"/>
      <w:color w:val="auto"/>
      <w:kern w:val="3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B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5B7656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CC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10568"/>
  </w:style>
  <w:style w:type="character" w:customStyle="1" w:styleId="a4">
    <w:name w:val="Нижний колонтитул Знак"/>
    <w:basedOn w:val="a0"/>
    <w:uiPriority w:val="99"/>
    <w:qFormat/>
    <w:rsid w:val="00710568"/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FontStyle11">
    <w:name w:val="Font Style11"/>
    <w:basedOn w:val="a0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ListLabel13">
    <w:name w:val="ListLabel 13"/>
    <w:qFormat/>
    <w:rPr>
      <w:rFonts w:cs="Times New Roman"/>
      <w:sz w:val="28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Times New Roman"/>
      <w:sz w:val="2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Times New Roman" w:hAnsi="Times New Roman" w:cs="Wingdings 2"/>
      <w:sz w:val="28"/>
    </w:rPr>
  </w:style>
  <w:style w:type="character" w:customStyle="1" w:styleId="ListLabel32">
    <w:name w:val="ListLabel 32"/>
    <w:qFormat/>
    <w:rPr>
      <w:rFonts w:cs="Wingdings 2"/>
    </w:rPr>
  </w:style>
  <w:style w:type="character" w:customStyle="1" w:styleId="ListLabel33">
    <w:name w:val="ListLabel 33"/>
    <w:qFormat/>
    <w:rPr>
      <w:rFonts w:cs="Wingdings 2"/>
    </w:rPr>
  </w:style>
  <w:style w:type="character" w:customStyle="1" w:styleId="ListLabel34">
    <w:name w:val="ListLabel 34"/>
    <w:qFormat/>
    <w:rPr>
      <w:rFonts w:cs="Wingdings 2"/>
    </w:rPr>
  </w:style>
  <w:style w:type="character" w:customStyle="1" w:styleId="ListLabel35">
    <w:name w:val="ListLabel 35"/>
    <w:qFormat/>
    <w:rPr>
      <w:rFonts w:cs="Wingdings 2"/>
    </w:rPr>
  </w:style>
  <w:style w:type="character" w:customStyle="1" w:styleId="ListLabel36">
    <w:name w:val="ListLabel 36"/>
    <w:qFormat/>
    <w:rPr>
      <w:rFonts w:cs="Wingdings 2"/>
    </w:rPr>
  </w:style>
  <w:style w:type="character" w:customStyle="1" w:styleId="ListLabel37">
    <w:name w:val="ListLabel 37"/>
    <w:qFormat/>
    <w:rPr>
      <w:rFonts w:cs="Wingdings 2"/>
    </w:rPr>
  </w:style>
  <w:style w:type="character" w:customStyle="1" w:styleId="ListLabel38">
    <w:name w:val="ListLabel 38"/>
    <w:qFormat/>
    <w:rPr>
      <w:rFonts w:cs="Wingdings 2"/>
    </w:rPr>
  </w:style>
  <w:style w:type="character" w:customStyle="1" w:styleId="ListLabel39">
    <w:name w:val="ListLabel 39"/>
    <w:qFormat/>
    <w:rPr>
      <w:rFonts w:cs="Wingdings 2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710568"/>
    <w:pPr>
      <w:tabs>
        <w:tab w:val="center" w:pos="4819"/>
        <w:tab w:val="right" w:pos="9639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710568"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Standard">
    <w:name w:val="Standard"/>
    <w:qFormat/>
    <w:rsid w:val="001441AA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ac">
    <w:name w:val="No Spacing"/>
    <w:uiPriority w:val="1"/>
    <w:qFormat/>
    <w:rsid w:val="001441AA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3A5F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extbody">
    <w:name w:val="Text body"/>
    <w:basedOn w:val="Standard"/>
    <w:qFormat/>
    <w:rsid w:val="00A33069"/>
    <w:pPr>
      <w:spacing w:after="120"/>
    </w:pPr>
    <w:rPr>
      <w:lang w:val="de-DE" w:eastAsia="ja-JP" w:bidi="fa-IR"/>
    </w:rPr>
  </w:style>
  <w:style w:type="paragraph" w:customStyle="1" w:styleId="ae">
    <w:name w:val="Содержимое врезки"/>
    <w:basedOn w:val="a"/>
    <w:qFormat/>
  </w:style>
  <w:style w:type="paragraph" w:customStyle="1" w:styleId="Standarduser">
    <w:name w:val="Standard (user)"/>
    <w:rsid w:val="005B7656"/>
    <w:pPr>
      <w:widowControl w:val="0"/>
      <w:suppressAutoHyphens/>
      <w:autoSpaceDN w:val="0"/>
    </w:pPr>
    <w:rPr>
      <w:rFonts w:ascii="Arial" w:eastAsia="SimSun, 宋体" w:hAnsi="Arial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5B7656"/>
    <w:pPr>
      <w:autoSpaceDN w:val="0"/>
      <w:textAlignment w:val="auto"/>
    </w:pPr>
    <w:rPr>
      <w:rFonts w:ascii="Arial" w:eastAsia="NSimSun" w:hAnsi="Arial" w:cs="Courier New"/>
      <w:color w:val="auto"/>
      <w:kern w:val="3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B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5B7656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search.ligazakon.ua/l_doc2.nsf/link1/T172145.html" TargetMode="External"/><Relationship Id="rId18" Type="http://schemas.openxmlformats.org/officeDocument/2006/relationships/chart" Target="charts/chart9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earch.ligazakon.ua/l_doc2.nsf/link1/T172145.html" TargetMode="External"/><Relationship Id="rId17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3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2017/2018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6"/>
                <c:pt idx="0">
                  <c:v>До 30 років</c:v>
                </c:pt>
                <c:pt idx="1">
                  <c:v>31-40 років</c:v>
                </c:pt>
                <c:pt idx="2">
                  <c:v>41-50 років</c:v>
                </c:pt>
                <c:pt idx="3">
                  <c:v>51-55 років</c:v>
                </c:pt>
                <c:pt idx="4">
                  <c:v>Понад 55 років</c:v>
                </c:pt>
                <c:pt idx="5">
                  <c:v>Всього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3</c:v>
                </c:pt>
                <c:pt idx="1">
                  <c:v>9</c:v>
                </c:pt>
                <c:pt idx="2">
                  <c:v>26</c:v>
                </c:pt>
                <c:pt idx="3">
                  <c:v>2</c:v>
                </c:pt>
                <c:pt idx="4">
                  <c:v>5</c:v>
                </c:pt>
                <c:pt idx="5">
                  <c:v>45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2018/2019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6"/>
                <c:pt idx="0">
                  <c:v>До 30 років</c:v>
                </c:pt>
                <c:pt idx="1">
                  <c:v>31-40 років</c:v>
                </c:pt>
                <c:pt idx="2">
                  <c:v>41-50 років</c:v>
                </c:pt>
                <c:pt idx="3">
                  <c:v>51-55 років</c:v>
                </c:pt>
                <c:pt idx="4">
                  <c:v>Понад 55 років</c:v>
                </c:pt>
                <c:pt idx="5">
                  <c:v>Всього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6"/>
                <c:pt idx="0">
                  <c:v>2</c:v>
                </c:pt>
                <c:pt idx="1">
                  <c:v>9</c:v>
                </c:pt>
                <c:pt idx="2">
                  <c:v>25</c:v>
                </c:pt>
                <c:pt idx="3">
                  <c:v>3</c:v>
                </c:pt>
                <c:pt idx="4">
                  <c:v>5</c:v>
                </c:pt>
                <c:pt idx="5">
                  <c:v>44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2019/2020</c:v>
                </c:pt>
              </c:strCache>
            </c:strRef>
          </c:tx>
          <c:spPr>
            <a:solidFill>
              <a:srgbClr val="A5A5A5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6"/>
                <c:pt idx="0">
                  <c:v>До 30 років</c:v>
                </c:pt>
                <c:pt idx="1">
                  <c:v>31-40 років</c:v>
                </c:pt>
                <c:pt idx="2">
                  <c:v>41-50 років</c:v>
                </c:pt>
                <c:pt idx="3">
                  <c:v>51-55 років</c:v>
                </c:pt>
                <c:pt idx="4">
                  <c:v>Понад 55 років</c:v>
                </c:pt>
                <c:pt idx="5">
                  <c:v>Всього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6"/>
                <c:pt idx="0">
                  <c:v>1</c:v>
                </c:pt>
                <c:pt idx="1">
                  <c:v>12</c:v>
                </c:pt>
                <c:pt idx="2">
                  <c:v>23</c:v>
                </c:pt>
                <c:pt idx="3">
                  <c:v>6</c:v>
                </c:pt>
                <c:pt idx="4">
                  <c:v>5</c:v>
                </c:pt>
                <c:pt idx="5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2655616"/>
        <c:axId val="202657152"/>
      </c:barChart>
      <c:catAx>
        <c:axId val="202655616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6480">
            <a:solidFill>
              <a:srgbClr val="8B8B8B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endParaRPr lang="uk-UA"/>
          </a:p>
        </c:txPr>
        <c:crossAx val="202657152"/>
        <c:crosses val="autoZero"/>
        <c:auto val="1"/>
        <c:lblAlgn val="ctr"/>
        <c:lblOffset val="100"/>
        <c:noMultiLvlLbl val="1"/>
      </c:catAx>
      <c:valAx>
        <c:axId val="202657152"/>
        <c:scaling>
          <c:orientation val="minMax"/>
        </c:scaling>
        <c:delete val="0"/>
        <c:axPos val="l"/>
        <c:majorGridlines>
          <c:spPr>
            <a:ln w="6480">
              <a:solidFill>
                <a:srgbClr val="8B8B8B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6480">
            <a:solidFill>
              <a:srgbClr val="8B8B8B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endParaRPr lang="uk-UA"/>
          </a:p>
        </c:txPr>
        <c:crossAx val="202655616"/>
        <c:crosses val="autoZero"/>
        <c:crossBetween val="midCat"/>
      </c:valAx>
      <c:spPr>
        <a:solidFill>
          <a:srgbClr val="FFFFFF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  <c:showDLblsOverMax val="1"/>
  </c:chart>
  <c:spPr>
    <a:solidFill>
      <a:srgbClr val="FFFFFF"/>
    </a:solidFill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2017/2018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5"/>
                <c:pt idx="0">
                  <c:v>До 3-х років</c:v>
                </c:pt>
                <c:pt idx="1">
                  <c:v>3-10 років</c:v>
                </c:pt>
                <c:pt idx="2">
                  <c:v>10-20 років</c:v>
                </c:pt>
                <c:pt idx="3">
                  <c:v>Понад 20 років</c:v>
                </c:pt>
                <c:pt idx="4">
                  <c:v>Всього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14</c:v>
                </c:pt>
                <c:pt idx="3">
                  <c:v>27</c:v>
                </c:pt>
                <c:pt idx="4">
                  <c:v>45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2018/2019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5"/>
                <c:pt idx="0">
                  <c:v>До 3-х років</c:v>
                </c:pt>
                <c:pt idx="1">
                  <c:v>3-10 років</c:v>
                </c:pt>
                <c:pt idx="2">
                  <c:v>10-20 років</c:v>
                </c:pt>
                <c:pt idx="3">
                  <c:v>Понад 20 років</c:v>
                </c:pt>
                <c:pt idx="4">
                  <c:v>Всього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14</c:v>
                </c:pt>
                <c:pt idx="3">
                  <c:v>28</c:v>
                </c:pt>
                <c:pt idx="4">
                  <c:v>44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2019/2020</c:v>
                </c:pt>
              </c:strCache>
            </c:strRef>
          </c:tx>
          <c:spPr>
            <a:solidFill>
              <a:srgbClr val="A5A5A5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5"/>
                <c:pt idx="0">
                  <c:v>До 3-х років</c:v>
                </c:pt>
                <c:pt idx="1">
                  <c:v>3-10 років</c:v>
                </c:pt>
                <c:pt idx="2">
                  <c:v>10-20 років</c:v>
                </c:pt>
                <c:pt idx="3">
                  <c:v>Понад 20 років</c:v>
                </c:pt>
                <c:pt idx="4">
                  <c:v>Всього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5"/>
                <c:pt idx="0">
                  <c:v>1</c:v>
                </c:pt>
                <c:pt idx="1">
                  <c:v>7</c:v>
                </c:pt>
                <c:pt idx="2">
                  <c:v>11</c:v>
                </c:pt>
                <c:pt idx="3">
                  <c:v>28</c:v>
                </c:pt>
                <c:pt idx="4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2692480"/>
        <c:axId val="202694016"/>
      </c:barChart>
      <c:catAx>
        <c:axId val="202692480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6480">
            <a:solidFill>
              <a:srgbClr val="8B8B8B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endParaRPr lang="uk-UA"/>
          </a:p>
        </c:txPr>
        <c:crossAx val="202694016"/>
        <c:crosses val="autoZero"/>
        <c:auto val="1"/>
        <c:lblAlgn val="ctr"/>
        <c:lblOffset val="100"/>
        <c:noMultiLvlLbl val="1"/>
      </c:catAx>
      <c:valAx>
        <c:axId val="202694016"/>
        <c:scaling>
          <c:orientation val="minMax"/>
        </c:scaling>
        <c:delete val="0"/>
        <c:axPos val="l"/>
        <c:majorGridlines>
          <c:spPr>
            <a:ln w="6480">
              <a:solidFill>
                <a:srgbClr val="8B8B8B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6480">
            <a:solidFill>
              <a:srgbClr val="8B8B8B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endParaRPr lang="uk-UA"/>
          </a:p>
        </c:txPr>
        <c:crossAx val="202692480"/>
        <c:crosses val="autoZero"/>
        <c:crossBetween val="midCat"/>
      </c:valAx>
      <c:spPr>
        <a:solidFill>
          <a:srgbClr val="FFFFFF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  <c:showDLblsOverMax val="1"/>
  </c:chart>
  <c:spPr>
    <a:solidFill>
      <a:srgbClr val="FFFFFF"/>
    </a:solidFill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roundedCorners val="0"/>
  <c:style val="2"/>
  <c:chart>
    <c:title>
      <c:tx>
        <c:rich>
          <a:bodyPr rot="0"/>
          <a:lstStyle/>
          <a:p>
            <a:pPr>
              <a:defRPr sz="1800" b="1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r>
              <a:rPr lang="uk-UA" sz="1800" b="1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rPr>
              <a:t>Плинність педагогічних кадрів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Плинність педагогічних кадрів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ED7D31"/>
              </a:solidFill>
              <a:ln>
                <a:noFill/>
              </a:ln>
            </c:spPr>
          </c:dPt>
          <c:dPt>
            <c:idx val="2"/>
            <c:bubble3D val="0"/>
            <c:spPr>
              <a:solidFill>
                <a:srgbClr val="A5A5A5"/>
              </a:solidFill>
              <a:ln>
                <a:noFill/>
              </a:ln>
            </c:spPr>
          </c:dPt>
          <c:dLbls>
            <c:dLblPos val="bestFit"/>
            <c:showLegendKey val="0"/>
            <c:showVal val="1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3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solidFill>
          <a:srgbClr val="FFFFFF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zero"/>
    <c:showDLblsOverMax val="1"/>
  </c:chart>
  <c:spPr>
    <a:solidFill>
      <a:srgbClr val="FFFFFF"/>
    </a:solidFill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roundedCorners val="0"/>
  <c:style val="2"/>
  <c:chart>
    <c:title>
      <c:tx>
        <c:rich>
          <a:bodyPr rot="0"/>
          <a:lstStyle/>
          <a:p>
            <a:pPr>
              <a:defRPr sz="1800" b="1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r>
              <a:rPr lang="uk-UA" sz="1800" b="1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rPr>
              <a:t>Відомості про педагогів за категоріями у 2019/2020 навчальному році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Відомості про педагогів за категоріями у 2019/2020 навчальному році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ED7D31"/>
              </a:solidFill>
              <a:ln>
                <a:noFill/>
              </a:ln>
            </c:spPr>
          </c:dPt>
          <c:dPt>
            <c:idx val="2"/>
            <c:bubble3D val="0"/>
            <c:spPr>
              <a:solidFill>
                <a:srgbClr val="A5A5A5"/>
              </a:solidFill>
              <a:ln>
                <a:noFill/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>
                <a:noFill/>
              </a:ln>
            </c:spPr>
          </c:dPt>
          <c:dPt>
            <c:idx val="4"/>
            <c:bubble3D val="0"/>
            <c:spPr>
              <a:solidFill>
                <a:srgbClr val="4472C4"/>
              </a:solidFill>
              <a:ln>
                <a:noFill/>
              </a:ln>
            </c:spPr>
          </c:dPt>
          <c:dLbls>
            <c:dLblPos val="bestFit"/>
            <c:showLegendKey val="0"/>
            <c:showVal val="1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5"/>
                <c:pt idx="0">
                  <c:v>Спеціаліст</c:v>
                </c:pt>
                <c:pt idx="1">
                  <c:v>ІІ категорія</c:v>
                </c:pt>
                <c:pt idx="2">
                  <c:v>І категорія</c:v>
                </c:pt>
                <c:pt idx="3">
                  <c:v>Вища категорія</c:v>
                </c:pt>
                <c:pt idx="4">
                  <c:v>Педагогічне звання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8</c:v>
                </c:pt>
                <c:pt idx="1">
                  <c:v>7</c:v>
                </c:pt>
                <c:pt idx="2">
                  <c:v>27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solidFill>
          <a:srgbClr val="FFFFFF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zero"/>
    <c:showDLblsOverMax val="1"/>
  </c:chart>
  <c:spPr>
    <a:solidFill>
      <a:srgbClr val="FFFFFF"/>
    </a:solidFill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roundedCorners val="0"/>
  <c:style val="2"/>
  <c:chart>
    <c:title>
      <c:tx>
        <c:rich>
          <a:bodyPr rot="0"/>
          <a:lstStyle/>
          <a:p>
            <a:pPr>
              <a:defRPr sz="1400" b="1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r>
              <a:rPr sz="1400" b="1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rPr>
              <a:t>Результати моніторингу рівня вихованості здобувачів освіти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Результати моніторингу рівня вихованості здобувачів освіти</c:v>
                </c:pt>
              </c:strCache>
            </c:strRef>
          </c:tx>
          <c:spPr>
            <a:solidFill>
              <a:srgbClr val="4472C4"/>
            </a:solidFill>
            <a:ln w="6480">
              <a:solidFill>
                <a:srgbClr val="325490"/>
              </a:solidFill>
              <a:round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0</c:v>
                </c:pt>
                <c:pt idx="1">
                  <c:v>0.31900000000000001</c:v>
                </c:pt>
                <c:pt idx="2">
                  <c:v>0.65200000000000002</c:v>
                </c:pt>
                <c:pt idx="3">
                  <c:v>2.9000000000000001E-2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443584"/>
        <c:axId val="185102720"/>
      </c:barChart>
      <c:catAx>
        <c:axId val="31443584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6480">
            <a:solidFill>
              <a:srgbClr val="8B8B8B"/>
            </a:solidFill>
            <a:round/>
          </a:ln>
        </c:spPr>
        <c:txPr>
          <a:bodyPr/>
          <a:lstStyle/>
          <a:p>
            <a:pPr>
              <a:defRPr sz="12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endParaRPr lang="uk-UA"/>
          </a:p>
        </c:txPr>
        <c:crossAx val="185102720"/>
        <c:crosses val="autoZero"/>
        <c:auto val="1"/>
        <c:lblAlgn val="ctr"/>
        <c:lblOffset val="100"/>
        <c:noMultiLvlLbl val="1"/>
      </c:catAx>
      <c:valAx>
        <c:axId val="185102720"/>
        <c:scaling>
          <c:orientation val="minMax"/>
        </c:scaling>
        <c:delete val="0"/>
        <c:axPos val="l"/>
        <c:majorGridlines>
          <c:spPr>
            <a:ln w="6480">
              <a:solidFill>
                <a:srgbClr val="8B8B8B"/>
              </a:solidFill>
              <a:round/>
            </a:ln>
          </c:spPr>
        </c:majorGridlines>
        <c:numFmt formatCode="0%" sourceLinked="0"/>
        <c:majorTickMark val="out"/>
        <c:minorTickMark val="none"/>
        <c:tickLblPos val="nextTo"/>
        <c:spPr>
          <a:ln w="6480">
            <a:solidFill>
              <a:srgbClr val="8B8B8B"/>
            </a:solidFill>
            <a:round/>
          </a:ln>
        </c:spPr>
        <c:txPr>
          <a:bodyPr/>
          <a:lstStyle/>
          <a:p>
            <a:pPr>
              <a:defRPr sz="18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endParaRPr lang="uk-UA"/>
          </a:p>
        </c:txPr>
        <c:crossAx val="31443584"/>
        <c:crosses val="autoZero"/>
        <c:crossBetween val="midCat"/>
      </c:valAx>
      <c:spPr>
        <a:solidFill>
          <a:srgbClr val="E8EBF4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  <c:showDLblsOverMax val="1"/>
  </c:chart>
  <c:spPr>
    <a:solidFill>
      <a:srgbClr val="FFFFFF"/>
    </a:solidFill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roundedCorners val="0"/>
  <c:style val="2"/>
  <c:chart>
    <c:title>
      <c:tx>
        <c:rich>
          <a:bodyPr rot="0"/>
          <a:lstStyle/>
          <a:p>
            <a:pPr>
              <a:defRPr sz="1400" b="1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r>
              <a:rPr sz="1400" b="1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rPr>
              <a:t>Результати моніторингу за критеріями вихованості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Критерії вихованості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10"/>
                <c:pt idx="0">
                  <c:v>Обов'язковість і відповідальність</c:v>
                </c:pt>
                <c:pt idx="1">
                  <c:v>Бережливість</c:v>
                </c:pt>
                <c:pt idx="2">
                  <c:v>Дисципліна</c:v>
                </c:pt>
                <c:pt idx="3">
                  <c:v>Ставлення до навчання</c:v>
                </c:pt>
                <c:pt idx="4">
                  <c:v>Ставлення до навчання</c:v>
                </c:pt>
                <c:pt idx="5">
                  <c:v>Доброта та чуйність</c:v>
                </c:pt>
                <c:pt idx="6">
                  <c:v>Чесність та справедливість</c:v>
                </c:pt>
                <c:pt idx="7">
                  <c:v>простота та скромність</c:v>
                </c:pt>
                <c:pt idx="8">
                  <c:v>Культура спілкування</c:v>
                </c:pt>
                <c:pt idx="9">
                  <c:v>Колективізм, почуття товаристкості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0"/>
                <c:pt idx="0">
                  <c:v>3.3</c:v>
                </c:pt>
                <c:pt idx="1">
                  <c:v>4.2</c:v>
                </c:pt>
                <c:pt idx="2">
                  <c:v>3.6</c:v>
                </c:pt>
                <c:pt idx="3">
                  <c:v>3.5</c:v>
                </c:pt>
                <c:pt idx="4">
                  <c:v>4.0999999999999996</c:v>
                </c:pt>
                <c:pt idx="5">
                  <c:v>3.9</c:v>
                </c:pt>
                <c:pt idx="6">
                  <c:v>3.6</c:v>
                </c:pt>
                <c:pt idx="7">
                  <c:v>4.0999999999999996</c:v>
                </c:pt>
                <c:pt idx="8">
                  <c:v>3.5</c:v>
                </c:pt>
                <c:pt idx="9">
                  <c:v>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03199616"/>
        <c:axId val="203201152"/>
      </c:barChart>
      <c:catAx>
        <c:axId val="203199616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6480">
            <a:solidFill>
              <a:srgbClr val="8B8B8B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endParaRPr lang="uk-UA"/>
          </a:p>
        </c:txPr>
        <c:crossAx val="203201152"/>
        <c:crosses val="autoZero"/>
        <c:auto val="1"/>
        <c:lblAlgn val="ctr"/>
        <c:lblOffset val="100"/>
        <c:noMultiLvlLbl val="1"/>
      </c:catAx>
      <c:valAx>
        <c:axId val="203201152"/>
        <c:scaling>
          <c:orientation val="minMax"/>
        </c:scaling>
        <c:delete val="0"/>
        <c:axPos val="l"/>
        <c:majorGridlines>
          <c:spPr>
            <a:ln w="6480">
              <a:solidFill>
                <a:srgbClr val="8B8B8B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6480">
            <a:solidFill>
              <a:srgbClr val="8B8B8B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endParaRPr lang="uk-UA"/>
          </a:p>
        </c:txPr>
        <c:crossAx val="203199616"/>
        <c:crosses val="autoZero"/>
        <c:crossBetween val="midCat"/>
      </c:valAx>
      <c:spPr>
        <a:solidFill>
          <a:srgbClr val="FFFFFF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  <c:showDLblsOverMax val="1"/>
  </c:chart>
  <c:spPr>
    <a:solidFill>
      <a:srgbClr val="FFFFFF"/>
    </a:solidFill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roundedCorners val="0"/>
  <c:style val="2"/>
  <c:chart>
    <c:title>
      <c:tx>
        <c:rich>
          <a:bodyPr rot="0"/>
          <a:lstStyle/>
          <a:p>
            <a:pPr>
              <a:defRPr sz="1200" b="1" strike="noStrike" spc="-1">
                <a:solidFill>
                  <a:srgbClr val="40404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r>
              <a:rPr sz="1200" b="1" strike="noStrike" spc="-1">
                <a:solidFill>
                  <a:srgbClr val="404040"/>
                </a:solidFill>
                <a:uFill>
                  <a:solidFill>
                    <a:srgbClr val="FFFFFF"/>
                  </a:solidFill>
                </a:uFill>
                <a:latin typeface="Calibri"/>
              </a:rPr>
              <a:t>Відповіді батьків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Відповіді батьків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ED7D31"/>
              </a:solidFill>
              <a:ln>
                <a:noFill/>
              </a:ln>
            </c:spPr>
          </c:dPt>
          <c:dPt>
            <c:idx val="2"/>
            <c:bubble3D val="0"/>
            <c:spPr>
              <a:solidFill>
                <a:srgbClr val="A5A5A5"/>
              </a:solidFill>
              <a:ln>
                <a:noFill/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>
                <a:noFill/>
              </a:ln>
            </c:spPr>
          </c:dPt>
          <c:dLbls>
            <c:dLblPos val="ctr"/>
            <c:showLegendKey val="0"/>
            <c:showVal val="0"/>
            <c:showCatName val="0"/>
            <c:showSerName val="0"/>
            <c:showPercent val="1"/>
            <c:showBubbleSize val="1"/>
            <c:showLeaderLines val="0"/>
          </c:dLbls>
          <c:cat>
            <c:strRef>
              <c:f>categories</c:f>
              <c:strCache>
                <c:ptCount val="4"/>
                <c:pt idx="0">
                  <c:v>А</c:v>
                </c:pt>
                <c:pt idx="1">
                  <c:v>Б</c:v>
                </c:pt>
                <c:pt idx="2">
                  <c:v>В</c:v>
                </c:pt>
                <c:pt idx="3">
                  <c:v>Г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25</c:v>
                </c:pt>
                <c:pt idx="1">
                  <c:v>20</c:v>
                </c:pt>
                <c:pt idx="2">
                  <c:v>10</c:v>
                </c:pt>
                <c:pt idx="3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</c:spPr>
    </c:plotArea>
    <c:legend>
      <c:legendPos val="r"/>
      <c:overlay val="0"/>
      <c:spPr>
        <a:solidFill>
          <a:srgbClr val="F2F2F2">
            <a:alpha val="39000"/>
          </a:srgbClr>
        </a:solidFill>
        <a:ln>
          <a:noFill/>
        </a:ln>
      </c:spPr>
    </c:legend>
    <c:plotVisOnly val="1"/>
    <c:dispBlanksAs val="gap"/>
    <c:showDLblsOverMax val="1"/>
  </c:chart>
  <c:spPr>
    <a:solidFill>
      <a:srgbClr val="FFFFFF"/>
    </a:solidFill>
    <a:ln w="9360">
      <a:solidFill>
        <a:srgbClr val="BFBFBF"/>
      </a:solidFill>
      <a:round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roundedCorners val="0"/>
  <c:style val="2"/>
  <c:chart>
    <c:title>
      <c:tx>
        <c:rich>
          <a:bodyPr rot="0"/>
          <a:lstStyle/>
          <a:p>
            <a:pPr>
              <a:defRPr sz="1200" b="1" strike="noStrike" spc="46">
                <a:solidFill>
                  <a:srgbClr val="595959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r>
              <a:rPr sz="1200" b="1" strike="noStrike" spc="46">
                <a:solidFill>
                  <a:srgbClr val="595959"/>
                </a:solidFill>
                <a:uFill>
                  <a:solidFill>
                    <a:srgbClr val="FFFFFF"/>
                  </a:solidFill>
                </a:uFill>
                <a:latin typeface="Calibri"/>
              </a:rPr>
              <a:t>Відповіді батьків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Відповіді батьків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ED7D31"/>
              </a:solidFill>
              <a:ln>
                <a:noFill/>
              </a:ln>
            </c:spPr>
          </c:dPt>
          <c:dPt>
            <c:idx val="2"/>
            <c:bubble3D val="0"/>
            <c:spPr>
              <a:solidFill>
                <a:srgbClr val="A5A5A5"/>
              </a:solidFill>
              <a:ln>
                <a:noFill/>
              </a:ln>
            </c:spPr>
          </c:dPt>
          <c:dLbls>
            <c:dLblPos val="bestFit"/>
            <c:showLegendKey val="0"/>
            <c:showVal val="1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3"/>
                <c:pt idx="0">
                  <c:v>З радістю</c:v>
                </c:pt>
                <c:pt idx="1">
                  <c:v>Неохоче</c:v>
                </c:pt>
                <c:pt idx="2">
                  <c:v>Відмовляється ходити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90</c:v>
                </c:pt>
                <c:pt idx="1">
                  <c:v>10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64581250000000001"/>
          <c:y val="0.29866666666666702"/>
        </c:manualLayout>
      </c:layout>
      <c:overlay val="0"/>
      <c:spPr>
        <a:noFill/>
        <a:ln>
          <a:noFill/>
        </a:ln>
      </c:sp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roundedCorners val="0"/>
  <c:style val="2"/>
  <c:chart>
    <c:title>
      <c:tx>
        <c:rich>
          <a:bodyPr rot="0"/>
          <a:lstStyle/>
          <a:p>
            <a:pPr>
              <a:defRPr sz="1200" b="0" strike="noStrike" spc="-1">
                <a:solidFill>
                  <a:srgbClr val="595959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r>
              <a:rPr sz="1200" b="0" strike="noStrike" spc="-1">
                <a:solidFill>
                  <a:srgbClr val="595959"/>
                </a:solidFill>
                <a:uFill>
                  <a:solidFill>
                    <a:srgbClr val="FFFFFF"/>
                  </a:solidFill>
                </a:uFill>
                <a:latin typeface="Calibri"/>
              </a:rPr>
              <a:t>Як батьки оцінюють свої стосунки з  вихователями групи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  <c:spPr>
        <a:solidFill>
          <a:srgbClr val="D9D9D9"/>
        </a:solidFill>
        <a:ln>
          <a:noFill/>
        </a:ln>
      </c:spPr>
    </c:floor>
    <c:sideWall>
      <c:thickness val="0"/>
    </c:sideWall>
    <c:backWall>
      <c:thickness val="0"/>
      <c:spPr>
        <a:solidFill>
          <a:srgbClr val="D9D9D9"/>
        </a:solidFill>
        <a:ln>
          <a:noFill/>
        </a:ln>
      </c:spPr>
    </c:backWall>
    <c:plotArea>
      <c:layout/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Як батьки оцінюють свої стосунки з класним керівником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dPt>
            <c:idx val="0"/>
            <c:bubble3D val="0"/>
            <c:spPr>
              <a:solidFill>
                <a:srgbClr val="ED7D31"/>
              </a:solidFill>
              <a:ln w="25560">
                <a:solidFill>
                  <a:srgbClr val="FFFFFF"/>
                </a:solidFill>
                <a:round/>
              </a:ln>
            </c:spPr>
          </c:dPt>
          <c:dLbls>
            <c:dLblPos val="bestFit"/>
            <c:showLegendKey val="0"/>
            <c:showVal val="1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1"/>
                <c:pt idx="0">
                  <c:v>Задоволені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D9D9D9"/>
        </a:solidFill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26769</Words>
  <Characters>15259</Characters>
  <Application>Microsoft Office Word</Application>
  <DocSecurity>0</DocSecurity>
  <Lines>127</Lines>
  <Paragraphs>83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user01</cp:lastModifiedBy>
  <cp:revision>2</cp:revision>
  <cp:lastPrinted>2020-08-12T13:16:00Z</cp:lastPrinted>
  <dcterms:created xsi:type="dcterms:W3CDTF">2020-08-28T11:41:00Z</dcterms:created>
  <dcterms:modified xsi:type="dcterms:W3CDTF">2020-08-28T11:41:00Z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